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1310"/>
        <w:gridCol w:w="1411"/>
        <w:gridCol w:w="1063"/>
        <w:gridCol w:w="1089"/>
        <w:gridCol w:w="1265"/>
        <w:gridCol w:w="1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层次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商品房购房补贴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（万元）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过渡期房租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（元/年）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安家费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（万元）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科研启动经费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其他优待政策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文管类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理工类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（万元）</w:t>
            </w: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高端领军人才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引进待遇面议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协助安排配偶工作，协助做好子女就学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专业带头人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140-170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2000元/月，共2年。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15-28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30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60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教授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90-110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1000元/月，共2年。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5-18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18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博士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80-100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1000元/月，共2年。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15-18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18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高技能人才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75-85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1000元/月，共2年。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5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注：1.高端领军人才参照《台州市高层次人才分类目录》，一事一议。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2.专业带头人引进条件详见招聘计划一览表（附件1）。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3.高技能人才指市首席技师及以上、“钱江技能大奖获得者”、“省级及以上技术能手”等荣誉获得者；省级及以上技能大师工作室领衔人；国家级一类技能大赛一等奖获得者。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4.高端领军人才、专业带头人、教授、博士、高技能人才引进待遇中包含台州市政府提供的政策待遇。（具体按照上级相关文件执行）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5.特别优秀者待遇可另行协商。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6.参加面试人员统一安排住宿。录用且入职人员、未录用或放弃录用人员，均给予报销面试来回车费。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829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30" w:lineRule="atLeast"/>
              <w:ind w:left="0" w:right="0" w:firstLine="600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7.硕士房票补贴20万，安家费3万-3.9万。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EEEEEE"/>
        </w:rPr>
        <w:t>符合台州市相关人才政策要求的叠加享受最新的市、校引进政策待遇。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B0877"/>
    <w:rsid w:val="019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