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44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fangsong_gb2312" w:hAnsi="fangsong_gb2312" w:eastAsia="fangsong_gb2312" w:cs="fangsong_gb2312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相关待遇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44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fangsong_gb2312" w:hAnsi="fangsong_gb2312" w:eastAsia="fangsong_gb2312" w:cs="fangsong_gb2312"/>
          <w:i w:val="0"/>
          <w:caps w:val="0"/>
          <w:color w:val="000000"/>
          <w:spacing w:val="0"/>
          <w:sz w:val="22"/>
          <w:szCs w:val="22"/>
          <w:shd w:val="clear" w:fill="FFFFFF"/>
        </w:rPr>
        <w:t>考核合格后录用方式为事业编制。博士可申报</w:t>
      </w:r>
      <w:r>
        <w:rPr>
          <w:rFonts w:hint="default" w:ascii="Times New Roman" w:hAnsi="Times New Roman" w:eastAsia="fangsong_gb2312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A</w:t>
      </w:r>
      <w:r>
        <w:rPr>
          <w:rFonts w:ascii="仿宋_GB2312" w:hAnsi="fangsong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、</w:t>
      </w:r>
      <w:r>
        <w:rPr>
          <w:rFonts w:hint="default" w:ascii="Times New Roman" w:hAnsi="Times New Roman" w:eastAsia="fangsong_gb2312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B</w:t>
      </w:r>
      <w:r>
        <w:rPr>
          <w:rFonts w:hint="default" w:ascii="仿宋_GB2312" w:hAnsi="fangsong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、</w:t>
      </w:r>
      <w:r>
        <w:rPr>
          <w:rFonts w:hint="default" w:ascii="Times New Roman" w:hAnsi="Times New Roman" w:eastAsia="fangsong_gb2312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C</w:t>
      </w:r>
      <w:r>
        <w:rPr>
          <w:rFonts w:hint="default" w:ascii="仿宋_GB2312" w:hAnsi="fangsong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岗博士，经个人答辩、专家评审、签订协议、聘期考核等规定程序，享受以下博士待遇。如不申报以上岗位，直接享受</w:t>
      </w:r>
      <w:r>
        <w:rPr>
          <w:rFonts w:hint="default" w:ascii="Times New Roman" w:hAnsi="Times New Roman" w:eastAsia="fangsong_gb2312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D</w:t>
      </w:r>
      <w:r>
        <w:rPr>
          <w:rFonts w:hint="default" w:ascii="仿宋_GB2312" w:hAnsi="fangsong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岗博士待遇。自贸区学院招聘人员待遇高于其他同级人员待遇。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78"/>
        <w:gridCol w:w="966"/>
        <w:gridCol w:w="1014"/>
        <w:gridCol w:w="2106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协议工资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一次性安家费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一次性住房补贴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科研条件建设费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自然科学20万元   人文社会科学10万元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业绩津贴1万元/年;学位津贴 1万元/年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自然科学10万元       人文社会科学5万元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业绩津贴1万元/年;学位津贴1万元/年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5万元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业绩津贴1万元/年;学位津贴1万元/年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D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实发工资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万元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税后）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5万元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业绩津贴1万元/年;学位津贴1万元/年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bookmarkStart w:id="0" w:name="_GoBack"/>
      <w:bookmarkEnd w:id="0"/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113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卜荣荣</cp:lastModifiedBy>
  <cp:lastPrinted>2018-07-04T08:49:00Z</cp:lastPrinted>
  <dcterms:modified xsi:type="dcterms:W3CDTF">2020-10-20T02:17:29Z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