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848"/>
        <w:gridCol w:w="697"/>
        <w:gridCol w:w="636"/>
        <w:gridCol w:w="867"/>
        <w:gridCol w:w="1065"/>
        <w:gridCol w:w="588"/>
        <w:gridCol w:w="3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工程造价人员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建筑安装工程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1.取得该岗位相应专业二级造价工程师（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注册造价工程师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）及以上执业资格；2.具有从事工程预决算编制、审核专业工作2年及以上工作经验；3.年龄在35周岁及以下，取得注册造价工程师年龄可放宽至40周岁。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房屋建筑工程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1.取得该岗位相应专业二级造价工程师（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注册造价工程师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）及以上执业资格；2.具有从事工程预决算编制、审核专业工作2年及以上工作经验；3.年龄在35周岁及以下，取得注册造价工程师年龄可放宽至40周岁。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19"/>
                <w:szCs w:val="19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公路工程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1.取得该岗位相应专业二级造价工程师（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shd w:val="clear" w:fill="FFFFFF"/>
                <w:lang w:val="en-US" w:eastAsia="zh-CN" w:bidi="ar"/>
              </w:rPr>
              <w:t>注册造价工程师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555555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）及以上执业资格；2.具有从事工程预决算编制、审核专业工作2年及以上工作经验；3.年龄在35周岁及以下，取得注册造价工程师年龄可放宽至40周岁。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80" w:right="0" w:hanging="48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555555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注：以上资格条件所要求的职称指政府人社部门认定的执业资格。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804E1"/>
    <w:rsid w:val="097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2020-10-30T08:42:00Z</dcterms:created>
  <dc:creator>ぺ灬cc果冻ル</dc:creator>
  <cp:lastModifiedBy>ぺ灬cc果冻ル</cp:lastModifiedBy>
  <dcterms:modified xsi:type="dcterms:W3CDTF">2020-10-30T08:44:18Z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