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黑体" w:cs="仿宋_GB2312"/>
          <w:bCs/>
          <w:kern w:val="0"/>
          <w:sz w:val="34"/>
          <w:szCs w:val="34"/>
        </w:rPr>
      </w:pPr>
      <w:r>
        <w:rPr>
          <w:rFonts w:hint="eastAsia" w:ascii="黑体" w:hAnsi="黑体" w:eastAsia="黑体" w:cs="黑体"/>
          <w:bCs/>
          <w:kern w:val="0"/>
          <w:sz w:val="34"/>
          <w:szCs w:val="34"/>
        </w:rPr>
        <w:t>附件2</w:t>
      </w:r>
    </w:p>
    <w:p>
      <w:pPr>
        <w:overflowPunct w:val="0"/>
        <w:spacing w:line="720" w:lineRule="exact"/>
        <w:jc w:val="center"/>
        <w:rPr>
          <w:rFonts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年驻马店市市直部分部门所属事业单位公开招聘专业设置指导目录</w:t>
      </w:r>
    </w:p>
    <w:p>
      <w:pPr>
        <w:spacing w:line="600" w:lineRule="exact"/>
        <w:rPr>
          <w:rFonts w:ascii="仿宋_GB2312" w:hAnsi="仿宋_GB2312" w:eastAsia="仿宋_GB2312" w:cs="仿宋_GB2312"/>
          <w:kern w:val="0"/>
          <w:sz w:val="34"/>
          <w:szCs w:val="34"/>
        </w:rPr>
      </w:pPr>
    </w:p>
    <w:p>
      <w:pPr>
        <w:ind w:firstLine="680" w:firstLineChars="200"/>
        <w:rPr>
          <w:rFonts w:hint="eastAsia"/>
          <w:color w:val="auto"/>
          <w:u w:val="none"/>
        </w:rPr>
      </w:pPr>
      <w:r>
        <w:rPr>
          <w:rFonts w:hint="eastAsia" w:ascii="仿宋_GB2312" w:eastAsia="仿宋_GB2312"/>
          <w:color w:val="auto"/>
          <w:kern w:val="0"/>
          <w:sz w:val="34"/>
          <w:szCs w:val="34"/>
          <w:u w:val="none"/>
        </w:rPr>
        <w:t>专业类别参照执行《河南省2020年考试录用公务员专业设置指导目录》，</w:t>
      </w:r>
      <w:r>
        <w:rPr>
          <w:rFonts w:hint="eastAsia" w:ascii="仿宋_GB2312" w:hAnsi="仿宋_GB2312" w:eastAsia="仿宋_GB2312" w:cs="仿宋_GB2312"/>
          <w:color w:val="auto"/>
          <w:kern w:val="0"/>
          <w:sz w:val="34"/>
          <w:szCs w:val="34"/>
          <w:u w:val="none"/>
        </w:rPr>
        <w:t>该目录未列入的</w:t>
      </w:r>
      <w:r>
        <w:rPr>
          <w:rFonts w:hint="eastAsia" w:ascii="仿宋_GB2312" w:eastAsia="仿宋_GB2312"/>
          <w:color w:val="auto"/>
          <w:kern w:val="0"/>
          <w:sz w:val="34"/>
          <w:szCs w:val="34"/>
          <w:u w:val="none"/>
        </w:rPr>
        <w:t>专业类别参照教育部《普通高等学校本科专业目录（2020年版）》和《研究生人才培养学科目录》</w:t>
      </w:r>
      <w:r>
        <w:rPr>
          <w:rFonts w:hint="eastAsia" w:ascii="仿宋_GB2312" w:eastAsia="仿宋_GB2312"/>
          <w:color w:val="auto"/>
          <w:kern w:val="0"/>
          <w:sz w:val="34"/>
          <w:szCs w:val="34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4"/>
          <w:szCs w:val="34"/>
          <w:u w:val="none"/>
        </w:rPr>
        <w:t>具体为：</w:t>
      </w:r>
    </w:p>
    <w:p>
      <w:pPr>
        <w:spacing w:line="600" w:lineRule="exact"/>
        <w:ind w:firstLine="680" w:firstLineChars="200"/>
        <w:rPr>
          <w:rFonts w:hint="eastAsia" w:ascii="仿宋_GB2312" w:eastAsia="仿宋_GB2312"/>
          <w:color w:val="auto"/>
          <w:sz w:val="34"/>
          <w:szCs w:val="34"/>
          <w:u w:val="none"/>
        </w:rPr>
      </w:pPr>
      <w:r>
        <w:rPr>
          <w:rFonts w:hint="eastAsia" w:ascii="黑体" w:hAnsi="黑体" w:eastAsia="黑体"/>
          <w:color w:val="auto"/>
          <w:sz w:val="34"/>
          <w:szCs w:val="34"/>
          <w:u w:val="none"/>
          <w:lang w:val="en-US" w:eastAsia="zh-CN"/>
        </w:rPr>
        <w:t>1.</w:t>
      </w:r>
      <w:r>
        <w:rPr>
          <w:rFonts w:hint="eastAsia" w:ascii="黑体" w:hAnsi="黑体" w:eastAsia="黑体"/>
          <w:color w:val="auto"/>
          <w:sz w:val="34"/>
          <w:szCs w:val="34"/>
          <w:u w:val="none"/>
        </w:rPr>
        <w:t>工商管理类</w:t>
      </w:r>
      <w:r>
        <w:rPr>
          <w:rFonts w:hint="eastAsia" w:ascii="黑体" w:hAnsi="黑体" w:eastAsia="黑体"/>
          <w:color w:val="auto"/>
          <w:sz w:val="34"/>
          <w:szCs w:val="34"/>
          <w:u w:val="none"/>
          <w:lang w:eastAsia="zh-CN"/>
        </w:rPr>
        <w:t>：</w:t>
      </w:r>
      <w:r>
        <w:rPr>
          <w:rFonts w:hint="eastAsia" w:ascii="仿宋_GB2312" w:eastAsia="仿宋_GB2312"/>
          <w:color w:val="auto"/>
          <w:sz w:val="34"/>
          <w:szCs w:val="34"/>
          <w:u w:val="none"/>
        </w:rPr>
        <w:t>工商管理、市场营销、会计学、财务管理、国际商务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、零售业管理、企业管理、技术经济及管理、EMBA</w:t>
      </w:r>
    </w:p>
    <w:p>
      <w:pPr>
        <w:spacing w:line="600" w:lineRule="exact"/>
        <w:ind w:firstLine="680" w:firstLineChars="200"/>
        <w:rPr>
          <w:rFonts w:hint="eastAsia" w:ascii="仿宋_GB2312" w:eastAsia="仿宋_GB2312"/>
          <w:color w:val="auto"/>
          <w:sz w:val="34"/>
          <w:szCs w:val="34"/>
          <w:u w:val="none"/>
        </w:rPr>
      </w:pPr>
      <w:r>
        <w:rPr>
          <w:rFonts w:hint="eastAsia" w:ascii="黑体" w:hAnsi="黑体" w:eastAsia="黑体"/>
          <w:color w:val="auto"/>
          <w:sz w:val="34"/>
          <w:szCs w:val="34"/>
          <w:u w:val="none"/>
          <w:lang w:val="en-US" w:eastAsia="zh-CN"/>
        </w:rPr>
        <w:t>2.</w:t>
      </w:r>
      <w:r>
        <w:rPr>
          <w:rFonts w:hint="eastAsia" w:ascii="黑体" w:hAnsi="黑体" w:eastAsia="黑体"/>
          <w:color w:val="auto"/>
          <w:sz w:val="34"/>
          <w:szCs w:val="34"/>
          <w:u w:val="none"/>
        </w:rPr>
        <w:t>计算机类</w:t>
      </w:r>
      <w:r>
        <w:rPr>
          <w:rFonts w:hint="eastAsia" w:ascii="黑体" w:hAnsi="黑体" w:eastAsia="黑体"/>
          <w:color w:val="auto"/>
          <w:sz w:val="34"/>
          <w:szCs w:val="34"/>
          <w:u w:val="none"/>
          <w:lang w:eastAsia="zh-CN"/>
        </w:rPr>
        <w:t>：</w:t>
      </w:r>
      <w:r>
        <w:rPr>
          <w:rFonts w:hint="eastAsia" w:ascii="仿宋_GB2312" w:eastAsia="仿宋_GB2312"/>
          <w:color w:val="auto"/>
          <w:sz w:val="34"/>
          <w:szCs w:val="34"/>
          <w:u w:val="none"/>
        </w:rPr>
        <w:t>计算机科学与技术、软件工程、网络工程、信息安全、物联网工程、</w:t>
      </w:r>
      <w:r>
        <w:rPr>
          <w:rFonts w:hint="eastAsia" w:ascii="仿宋_GB2312" w:eastAsia="仿宋_GB2312"/>
          <w:color w:val="FF0000"/>
          <w:sz w:val="34"/>
          <w:szCs w:val="34"/>
          <w:u w:val="none"/>
        </w:rPr>
        <w:t>数字媒体技术</w:t>
      </w:r>
      <w:r>
        <w:rPr>
          <w:rFonts w:hint="eastAsia" w:ascii="仿宋_GB2312" w:eastAsia="仿宋_GB2312"/>
          <w:color w:val="auto"/>
          <w:sz w:val="34"/>
          <w:szCs w:val="34"/>
          <w:u w:val="none"/>
        </w:rPr>
        <w:t>、智能科学与技术、空间信息与数字技术、电子与计算机工程、数据科学与大数据技术、网络空间安全、新媒体技术、电影制作、保密技术、服务科学与工程、虚拟现实技术、区块链工程</w:t>
      </w:r>
      <w:r>
        <w:rPr>
          <w:rFonts w:hint="eastAsia" w:ascii="仿宋_GB2312" w:eastAsia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4"/>
          <w:szCs w:val="34"/>
          <w:u w:val="none"/>
        </w:rPr>
        <w:t>计算机系统结构、计算机软件与理论、计算机应用技术</w:t>
      </w:r>
    </w:p>
    <w:p>
      <w:pPr>
        <w:spacing w:line="600" w:lineRule="exact"/>
        <w:ind w:firstLine="680" w:firstLineChars="200"/>
        <w:rPr>
          <w:rFonts w:hint="eastAsia" w:ascii="仿宋_GB2312" w:eastAsia="仿宋_GB2312"/>
          <w:color w:val="auto"/>
          <w:sz w:val="34"/>
          <w:szCs w:val="34"/>
          <w:u w:val="none"/>
        </w:rPr>
      </w:pPr>
      <w:r>
        <w:rPr>
          <w:rFonts w:hint="eastAsia" w:ascii="黑体" w:hAnsi="黑体" w:eastAsia="黑体"/>
          <w:color w:val="auto"/>
          <w:sz w:val="34"/>
          <w:szCs w:val="34"/>
          <w:u w:val="none"/>
          <w:lang w:val="en-US" w:eastAsia="zh-CN"/>
        </w:rPr>
        <w:t>3.</w:t>
      </w:r>
      <w:r>
        <w:rPr>
          <w:rFonts w:hint="eastAsia" w:ascii="黑体" w:hAnsi="黑体" w:eastAsia="黑体"/>
          <w:color w:val="auto"/>
          <w:sz w:val="34"/>
          <w:szCs w:val="34"/>
          <w:u w:val="none"/>
        </w:rPr>
        <w:t>法律（法学）类</w:t>
      </w:r>
      <w:r>
        <w:rPr>
          <w:rFonts w:hint="eastAsia" w:ascii="黑体" w:hAnsi="黑体" w:eastAsia="黑体"/>
          <w:color w:val="auto"/>
          <w:sz w:val="34"/>
          <w:szCs w:val="34"/>
          <w:u w:val="none"/>
          <w:lang w:eastAsia="zh-CN"/>
        </w:rPr>
        <w:t>：</w:t>
      </w:r>
      <w:r>
        <w:rPr>
          <w:rFonts w:hint="eastAsia" w:ascii="仿宋_GB2312" w:eastAsia="仿宋_GB2312"/>
          <w:color w:val="auto"/>
          <w:sz w:val="34"/>
          <w:szCs w:val="34"/>
          <w:u w:val="none"/>
        </w:rPr>
        <w:t>法学、法律、知识产权、法学理论、法律史、宪法学与行政法学、刑法学、民商法学、讼诉法学、经济法学、环境与资源保护法学、国际法学、军事法学</w:t>
      </w:r>
      <w:r>
        <w:rPr>
          <w:rFonts w:hint="eastAsia" w:ascii="仿宋_GB2312" w:eastAsia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4"/>
          <w:szCs w:val="34"/>
          <w:u w:val="none"/>
        </w:rPr>
        <w:t>监狱学、信用风险管理与法律防控、国际经济贸易规则、司法警察学、社区矫正</w:t>
      </w:r>
    </w:p>
    <w:p>
      <w:pPr>
        <w:spacing w:line="600" w:lineRule="exact"/>
        <w:ind w:firstLine="680" w:firstLineChars="200"/>
        <w:rPr>
          <w:rFonts w:hint="eastAsia" w:ascii="仿宋_GB2312" w:eastAsia="仿宋_GB2312"/>
          <w:color w:val="auto"/>
          <w:sz w:val="34"/>
          <w:szCs w:val="34"/>
          <w:u w:val="none"/>
          <w:lang w:eastAsia="zh-CN"/>
        </w:rPr>
      </w:pPr>
      <w:r>
        <w:rPr>
          <w:rFonts w:hint="eastAsia" w:ascii="黑体" w:hAnsi="黑体" w:eastAsia="黑体"/>
          <w:color w:val="auto"/>
          <w:sz w:val="34"/>
          <w:szCs w:val="34"/>
          <w:u w:val="none"/>
          <w:lang w:val="en-US" w:eastAsia="zh-CN"/>
        </w:rPr>
        <w:t>4.</w:t>
      </w:r>
      <w:r>
        <w:rPr>
          <w:rFonts w:hint="eastAsia" w:ascii="黑体" w:hAnsi="黑体" w:eastAsia="黑体"/>
          <w:color w:val="auto"/>
          <w:sz w:val="34"/>
          <w:szCs w:val="34"/>
          <w:u w:val="none"/>
        </w:rPr>
        <w:t>公共管理类</w:t>
      </w:r>
      <w:r>
        <w:rPr>
          <w:rFonts w:hint="eastAsia" w:ascii="黑体" w:hAnsi="黑体" w:eastAsia="黑体"/>
          <w:color w:val="auto"/>
          <w:sz w:val="34"/>
          <w:szCs w:val="34"/>
          <w:u w:val="none"/>
          <w:lang w:eastAsia="zh-CN"/>
        </w:rPr>
        <w:t>：</w:t>
      </w:r>
      <w:r>
        <w:rPr>
          <w:rFonts w:hint="eastAsia" w:ascii="仿宋_GB2312" w:eastAsia="仿宋_GB2312"/>
          <w:color w:val="auto"/>
          <w:sz w:val="34"/>
          <w:szCs w:val="34"/>
          <w:u w:val="none"/>
        </w:rPr>
        <w:t>公共事业管理、行政管理、劳动与社会保障、人力资源管理、土地资源管理、城市管理、海关管理、交通管理、海事管理、公共关系学、管理科学、信息管理与信息系统、保密管理、图书馆学、档案学、信息资源管理、农村区域发展、农林经济管理、健康服务与管理、海警后勤管理、医疗产品管理、医疗保险、养老服务管理</w:t>
      </w:r>
      <w:r>
        <w:rPr>
          <w:rFonts w:hint="eastAsia" w:ascii="仿宋_GB2312" w:eastAsia="仿宋_GB2312"/>
          <w:color w:val="auto"/>
          <w:sz w:val="34"/>
          <w:szCs w:val="34"/>
          <w:u w:val="none"/>
          <w:lang w:eastAsia="zh-CN"/>
        </w:rPr>
        <w:t>、行政管理、社会医学与卫生事业管理、教育经济与管理、社会保障、土地资源管理</w:t>
      </w:r>
    </w:p>
    <w:p>
      <w:pPr>
        <w:spacing w:line="600" w:lineRule="exact"/>
        <w:ind w:firstLine="680" w:firstLineChars="200"/>
        <w:rPr>
          <w:rFonts w:hint="eastAsia" w:ascii="仿宋_GB2312" w:eastAsia="仿宋_GB2312"/>
          <w:color w:val="auto"/>
          <w:sz w:val="34"/>
          <w:szCs w:val="34"/>
          <w:u w:val="none"/>
        </w:rPr>
      </w:pPr>
      <w:r>
        <w:rPr>
          <w:rFonts w:hint="eastAsia" w:ascii="黑体" w:hAnsi="黑体" w:eastAsia="黑体"/>
          <w:color w:val="auto"/>
          <w:sz w:val="34"/>
          <w:szCs w:val="34"/>
          <w:u w:val="none"/>
          <w:lang w:val="en-US" w:eastAsia="zh-CN"/>
        </w:rPr>
        <w:t>5.</w:t>
      </w:r>
      <w:r>
        <w:rPr>
          <w:rFonts w:hint="eastAsia" w:ascii="黑体" w:hAnsi="黑体" w:eastAsia="黑体"/>
          <w:color w:val="auto"/>
          <w:sz w:val="34"/>
          <w:szCs w:val="34"/>
          <w:u w:val="none"/>
        </w:rPr>
        <w:t>文秘类</w:t>
      </w:r>
      <w:r>
        <w:rPr>
          <w:rFonts w:hint="eastAsia" w:ascii="黑体" w:hAnsi="黑体" w:eastAsia="黑体"/>
          <w:color w:val="auto"/>
          <w:sz w:val="34"/>
          <w:szCs w:val="34"/>
          <w:u w:val="none"/>
          <w:lang w:eastAsia="zh-CN"/>
        </w:rPr>
        <w:t>（</w:t>
      </w:r>
      <w:r>
        <w:rPr>
          <w:rFonts w:hint="eastAsia" w:ascii="仿宋_GB2312" w:eastAsia="仿宋_GB2312"/>
          <w:b/>
          <w:color w:val="auto"/>
          <w:sz w:val="34"/>
          <w:szCs w:val="34"/>
          <w:u w:val="none"/>
        </w:rPr>
        <w:t>中国语言文学类</w:t>
      </w:r>
      <w:r>
        <w:rPr>
          <w:rFonts w:hint="eastAsia" w:ascii="黑体" w:hAnsi="黑体" w:eastAsia="黑体"/>
          <w:color w:val="auto"/>
          <w:sz w:val="34"/>
          <w:szCs w:val="34"/>
          <w:u w:val="none"/>
          <w:lang w:eastAsia="zh-CN"/>
        </w:rPr>
        <w:t>）：</w:t>
      </w:r>
      <w:r>
        <w:rPr>
          <w:rFonts w:hint="eastAsia" w:ascii="仿宋_GB2312" w:eastAsia="仿宋_GB2312"/>
          <w:color w:val="auto"/>
          <w:sz w:val="34"/>
          <w:szCs w:val="34"/>
          <w:u w:val="none"/>
        </w:rPr>
        <w:t>汉语言文学、汉语言、汉语国际教育、中国少数民族语言文学、古典文献学、应用语言学、文秘、秘书学、哲学、逻辑学、宗教学、伦理学、美学、中国语言与文化、手语翻译</w:t>
      </w:r>
      <w:r>
        <w:rPr>
          <w:rFonts w:hint="eastAsia" w:ascii="仿宋_GB2312" w:eastAsia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4"/>
          <w:szCs w:val="34"/>
          <w:u w:val="none"/>
        </w:rPr>
        <w:t>文艺学、语言学与应用语言学、汉语言文</w:t>
      </w:r>
      <w:r>
        <w:rPr>
          <w:rFonts w:hint="eastAsia" w:ascii="仿宋_GB2312" w:eastAsia="仿宋_GB2312"/>
          <w:color w:val="auto"/>
          <w:sz w:val="34"/>
          <w:szCs w:val="34"/>
          <w:u w:val="none"/>
          <w:lang w:eastAsia="zh-CN"/>
        </w:rPr>
        <w:t>字</w:t>
      </w:r>
      <w:r>
        <w:rPr>
          <w:rFonts w:hint="eastAsia" w:ascii="仿宋_GB2312" w:eastAsia="仿宋_GB2312"/>
          <w:color w:val="auto"/>
          <w:sz w:val="34"/>
          <w:szCs w:val="34"/>
          <w:u w:val="none"/>
        </w:rPr>
        <w:t>学、中国古典文献学、这个古代文学、中国现当代文学、中国少数民族语言文学、比较文学与世界文学</w:t>
      </w:r>
    </w:p>
    <w:p>
      <w:pPr>
        <w:spacing w:line="600" w:lineRule="exact"/>
        <w:ind w:firstLine="680" w:firstLineChars="200"/>
        <w:rPr>
          <w:rFonts w:hint="eastAsia" w:ascii="仿宋_GB2312" w:eastAsia="仿宋_GB2312"/>
          <w:color w:val="auto"/>
          <w:sz w:val="34"/>
          <w:szCs w:val="34"/>
          <w:u w:val="none"/>
        </w:rPr>
      </w:pPr>
      <w:r>
        <w:rPr>
          <w:rFonts w:hint="eastAsia" w:ascii="黑体" w:hAnsi="黑体" w:eastAsia="黑体"/>
          <w:color w:val="auto"/>
          <w:sz w:val="34"/>
          <w:szCs w:val="34"/>
          <w:u w:val="none"/>
          <w:lang w:val="en-US" w:eastAsia="zh-CN"/>
        </w:rPr>
        <w:t>6.</w:t>
      </w:r>
      <w:r>
        <w:rPr>
          <w:rFonts w:hint="eastAsia" w:ascii="黑体" w:hAnsi="黑体" w:eastAsia="黑体"/>
          <w:color w:val="auto"/>
          <w:sz w:val="34"/>
          <w:szCs w:val="34"/>
          <w:u w:val="none"/>
        </w:rPr>
        <w:t>新闻传播学类</w:t>
      </w:r>
      <w:r>
        <w:rPr>
          <w:rFonts w:hint="eastAsia" w:ascii="黑体" w:hAnsi="黑体" w:eastAsia="黑体"/>
          <w:color w:val="auto"/>
          <w:sz w:val="34"/>
          <w:szCs w:val="34"/>
          <w:u w:val="none"/>
          <w:lang w:eastAsia="zh-CN"/>
        </w:rPr>
        <w:t>：</w:t>
      </w:r>
      <w:r>
        <w:rPr>
          <w:rFonts w:hint="eastAsia" w:ascii="仿宋_GB2312" w:eastAsia="仿宋_GB2312"/>
          <w:color w:val="auto"/>
          <w:sz w:val="34"/>
          <w:szCs w:val="34"/>
          <w:u w:val="none"/>
        </w:rPr>
        <w:t>新闻学、广播电视学、广告学、传播学、编辑出版学、网络与新媒体、数字出版、时尚传播、国际新闻与传播、会展</w:t>
      </w:r>
    </w:p>
    <w:p>
      <w:pPr>
        <w:spacing w:line="600" w:lineRule="exact"/>
        <w:ind w:firstLine="680" w:firstLineChars="200"/>
        <w:rPr>
          <w:rFonts w:hint="eastAsia" w:ascii="仿宋_GB2312" w:eastAsia="仿宋_GB2312"/>
          <w:color w:val="auto"/>
          <w:sz w:val="34"/>
          <w:szCs w:val="34"/>
          <w:u w:val="none"/>
        </w:rPr>
      </w:pPr>
      <w:r>
        <w:rPr>
          <w:rFonts w:hint="eastAsia" w:ascii="黑体" w:hAnsi="黑体" w:eastAsia="黑体"/>
          <w:color w:val="auto"/>
          <w:sz w:val="34"/>
          <w:szCs w:val="34"/>
          <w:u w:val="none"/>
          <w:lang w:val="en-US" w:eastAsia="zh-CN"/>
        </w:rPr>
        <w:t>7.</w:t>
      </w:r>
      <w:r>
        <w:rPr>
          <w:rFonts w:hint="eastAsia" w:ascii="黑体" w:hAnsi="黑体" w:eastAsia="黑体"/>
          <w:color w:val="auto"/>
          <w:sz w:val="34"/>
          <w:szCs w:val="34"/>
          <w:u w:val="none"/>
        </w:rPr>
        <w:t>大气科学类</w:t>
      </w:r>
      <w:r>
        <w:rPr>
          <w:rFonts w:hint="eastAsia" w:ascii="黑体" w:hAnsi="黑体" w:eastAsia="黑体"/>
          <w:color w:val="auto"/>
          <w:sz w:val="34"/>
          <w:szCs w:val="34"/>
          <w:u w:val="none"/>
          <w:lang w:eastAsia="zh-CN"/>
        </w:rPr>
        <w:t>：</w:t>
      </w:r>
      <w:r>
        <w:rPr>
          <w:rFonts w:hint="eastAsia" w:ascii="仿宋_GB2312" w:eastAsia="仿宋_GB2312"/>
          <w:color w:val="auto"/>
          <w:sz w:val="34"/>
          <w:szCs w:val="34"/>
          <w:u w:val="none"/>
        </w:rPr>
        <w:t>大气科学、应用气象学、气象学、大气物理学与大气环境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</w:pPr>
      <w:r>
        <w:rPr>
          <w:rFonts w:hint="eastAsia" w:ascii="黑体" w:hAnsi="黑体" w:eastAsia="黑体"/>
          <w:color w:val="auto"/>
          <w:sz w:val="34"/>
          <w:szCs w:val="34"/>
          <w:u w:val="none"/>
          <w:lang w:val="en-US" w:eastAsia="zh-CN"/>
        </w:rPr>
        <w:t>8.农学类：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农学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园艺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植物保护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植物科学与技术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种子科学与工程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设施农业科学与工程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茶学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烟草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应用生物科学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农艺教育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园艺教育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智慧农业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、菌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物科学与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工程、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农药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化工、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农业资源与环境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野生动物与自然保护区管理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水土保持与荒漠化防治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动物科学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动物医学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动物药学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林学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园林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森林保护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水产养殖学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海洋渔业科学与技术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草业科学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作物栽培学与耕作学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作物遗传育种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果树学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蔬菜学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茶学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土壤学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植物营养学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植物病理学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农业昆虫与害虫防治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农药学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动物遗传育种与繁殖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动物营养与饲料科学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草业科学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特种经济动物饲养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基础兽医学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预防兽医学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临床兽医学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林木遗传育种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森林培育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森林保护学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森林经理学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生动植物保护与利用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园林植物与观赏园艺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水土保持与荒漠化防治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水产养殖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捕捞学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  <w:t>渔业资源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color w:val="auto"/>
          <w:sz w:val="34"/>
          <w:szCs w:val="34"/>
          <w:u w:val="non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i91E0AAAAAIBAAAPAAAAAAAAAAEAIAAAACIAAABk&#10;cnMvZG93bnJldi54bWxQSwECFAAUAAAACACHTuJAdDhZOQ4CAAAPBAAADgAAAAAAAAABACAAAAAf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77"/>
    <w:rsid w:val="000130D2"/>
    <w:rsid w:val="00020C41"/>
    <w:rsid w:val="00022E24"/>
    <w:rsid w:val="0002757F"/>
    <w:rsid w:val="0003764F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B4231"/>
    <w:rsid w:val="000C2128"/>
    <w:rsid w:val="000C27FE"/>
    <w:rsid w:val="000C3B1A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517C"/>
    <w:rsid w:val="0016146B"/>
    <w:rsid w:val="00161CA5"/>
    <w:rsid w:val="00164A27"/>
    <w:rsid w:val="001650B6"/>
    <w:rsid w:val="00171CB7"/>
    <w:rsid w:val="00171EA6"/>
    <w:rsid w:val="00172A27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A3A60"/>
    <w:rsid w:val="001B4072"/>
    <w:rsid w:val="001C64F0"/>
    <w:rsid w:val="001D473B"/>
    <w:rsid w:val="001E0EF3"/>
    <w:rsid w:val="001E4746"/>
    <w:rsid w:val="001E6CD3"/>
    <w:rsid w:val="00202C2A"/>
    <w:rsid w:val="00203E11"/>
    <w:rsid w:val="002061F0"/>
    <w:rsid w:val="00206683"/>
    <w:rsid w:val="00207F33"/>
    <w:rsid w:val="002110BA"/>
    <w:rsid w:val="002112ED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B79E4"/>
    <w:rsid w:val="002C7A01"/>
    <w:rsid w:val="002D5E2B"/>
    <w:rsid w:val="002D6887"/>
    <w:rsid w:val="002F0932"/>
    <w:rsid w:val="002F266F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7BE4"/>
    <w:rsid w:val="003209B2"/>
    <w:rsid w:val="00323B24"/>
    <w:rsid w:val="00326E62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271E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1DD2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E662B"/>
    <w:rsid w:val="005F12E1"/>
    <w:rsid w:val="005F2D80"/>
    <w:rsid w:val="0060061A"/>
    <w:rsid w:val="00602488"/>
    <w:rsid w:val="00610571"/>
    <w:rsid w:val="00610DF0"/>
    <w:rsid w:val="0061332E"/>
    <w:rsid w:val="0063428A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7762"/>
    <w:rsid w:val="006C0E23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4AAF"/>
    <w:rsid w:val="00766EB1"/>
    <w:rsid w:val="007732D6"/>
    <w:rsid w:val="00777C8A"/>
    <w:rsid w:val="007840DC"/>
    <w:rsid w:val="00784190"/>
    <w:rsid w:val="007841CD"/>
    <w:rsid w:val="00786EAF"/>
    <w:rsid w:val="00795184"/>
    <w:rsid w:val="007955BD"/>
    <w:rsid w:val="007A2058"/>
    <w:rsid w:val="007B0D4E"/>
    <w:rsid w:val="007B3B64"/>
    <w:rsid w:val="007B7260"/>
    <w:rsid w:val="007B7A8F"/>
    <w:rsid w:val="007C53F2"/>
    <w:rsid w:val="007C58A2"/>
    <w:rsid w:val="007D04BE"/>
    <w:rsid w:val="007D0D26"/>
    <w:rsid w:val="007D7EDB"/>
    <w:rsid w:val="007F195B"/>
    <w:rsid w:val="007F1A1E"/>
    <w:rsid w:val="007F29C5"/>
    <w:rsid w:val="008005EC"/>
    <w:rsid w:val="00800C11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5216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189A"/>
    <w:rsid w:val="009546A9"/>
    <w:rsid w:val="009547CF"/>
    <w:rsid w:val="0095707F"/>
    <w:rsid w:val="00957179"/>
    <w:rsid w:val="009617EB"/>
    <w:rsid w:val="00972FBD"/>
    <w:rsid w:val="0097402F"/>
    <w:rsid w:val="00974493"/>
    <w:rsid w:val="0098315A"/>
    <w:rsid w:val="009901A1"/>
    <w:rsid w:val="009A2114"/>
    <w:rsid w:val="009A24C2"/>
    <w:rsid w:val="009A66B8"/>
    <w:rsid w:val="009B5DFA"/>
    <w:rsid w:val="009C1AD4"/>
    <w:rsid w:val="009C633D"/>
    <w:rsid w:val="009C738D"/>
    <w:rsid w:val="009C7E90"/>
    <w:rsid w:val="009D2526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2FF"/>
    <w:rsid w:val="00B348B7"/>
    <w:rsid w:val="00B34CB7"/>
    <w:rsid w:val="00B34EA0"/>
    <w:rsid w:val="00B35264"/>
    <w:rsid w:val="00B4136E"/>
    <w:rsid w:val="00B449C6"/>
    <w:rsid w:val="00B514AE"/>
    <w:rsid w:val="00B525F6"/>
    <w:rsid w:val="00B544F3"/>
    <w:rsid w:val="00B56867"/>
    <w:rsid w:val="00B66C03"/>
    <w:rsid w:val="00B76F89"/>
    <w:rsid w:val="00B802A6"/>
    <w:rsid w:val="00B8533E"/>
    <w:rsid w:val="00B85B00"/>
    <w:rsid w:val="00B9370D"/>
    <w:rsid w:val="00BA327D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2B66"/>
    <w:rsid w:val="00C5561A"/>
    <w:rsid w:val="00C560E2"/>
    <w:rsid w:val="00C619F2"/>
    <w:rsid w:val="00C64C85"/>
    <w:rsid w:val="00C66347"/>
    <w:rsid w:val="00C704EF"/>
    <w:rsid w:val="00C70ACA"/>
    <w:rsid w:val="00C76506"/>
    <w:rsid w:val="00C775E1"/>
    <w:rsid w:val="00C8544D"/>
    <w:rsid w:val="00C906F0"/>
    <w:rsid w:val="00C94D55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243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468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55D8"/>
    <w:rsid w:val="00E47F21"/>
    <w:rsid w:val="00E55163"/>
    <w:rsid w:val="00E6029D"/>
    <w:rsid w:val="00E63CB0"/>
    <w:rsid w:val="00E72400"/>
    <w:rsid w:val="00E764A2"/>
    <w:rsid w:val="00E76C91"/>
    <w:rsid w:val="00E85CA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1D27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0FF3AD1"/>
    <w:rsid w:val="02793760"/>
    <w:rsid w:val="051572FD"/>
    <w:rsid w:val="06326250"/>
    <w:rsid w:val="06E00895"/>
    <w:rsid w:val="06F0083E"/>
    <w:rsid w:val="08845756"/>
    <w:rsid w:val="0C5E424B"/>
    <w:rsid w:val="0C8800CB"/>
    <w:rsid w:val="0CFF717B"/>
    <w:rsid w:val="0D5A0E4E"/>
    <w:rsid w:val="1035171D"/>
    <w:rsid w:val="104C342B"/>
    <w:rsid w:val="139916C4"/>
    <w:rsid w:val="15EE21C4"/>
    <w:rsid w:val="16FE5668"/>
    <w:rsid w:val="198F732D"/>
    <w:rsid w:val="1D7600EA"/>
    <w:rsid w:val="1E264E50"/>
    <w:rsid w:val="1E3D0D90"/>
    <w:rsid w:val="1F2348AA"/>
    <w:rsid w:val="1F722B7C"/>
    <w:rsid w:val="20C31367"/>
    <w:rsid w:val="219B4D04"/>
    <w:rsid w:val="23243EEB"/>
    <w:rsid w:val="239828A4"/>
    <w:rsid w:val="249160DF"/>
    <w:rsid w:val="24F80D8C"/>
    <w:rsid w:val="27181B5B"/>
    <w:rsid w:val="27276460"/>
    <w:rsid w:val="27873C85"/>
    <w:rsid w:val="28D813C8"/>
    <w:rsid w:val="297D1BC0"/>
    <w:rsid w:val="2A722D21"/>
    <w:rsid w:val="2A9A4780"/>
    <w:rsid w:val="2B9F504C"/>
    <w:rsid w:val="2C1354A4"/>
    <w:rsid w:val="2D496CA5"/>
    <w:rsid w:val="2D7E4CB9"/>
    <w:rsid w:val="2DB24D71"/>
    <w:rsid w:val="31C45A91"/>
    <w:rsid w:val="33C646DE"/>
    <w:rsid w:val="37910E3B"/>
    <w:rsid w:val="38334113"/>
    <w:rsid w:val="3B49323C"/>
    <w:rsid w:val="3CD01F83"/>
    <w:rsid w:val="3DBF00CF"/>
    <w:rsid w:val="3E9E7325"/>
    <w:rsid w:val="40F5017F"/>
    <w:rsid w:val="421E6B4E"/>
    <w:rsid w:val="42FE63A3"/>
    <w:rsid w:val="44D37C0F"/>
    <w:rsid w:val="477F1ED5"/>
    <w:rsid w:val="47B91B15"/>
    <w:rsid w:val="47CE0F4F"/>
    <w:rsid w:val="488F0DBD"/>
    <w:rsid w:val="496164C6"/>
    <w:rsid w:val="4A39551B"/>
    <w:rsid w:val="4A3B479D"/>
    <w:rsid w:val="4D513EA5"/>
    <w:rsid w:val="4D99726B"/>
    <w:rsid w:val="514379EF"/>
    <w:rsid w:val="5412697E"/>
    <w:rsid w:val="562052DE"/>
    <w:rsid w:val="56275D53"/>
    <w:rsid w:val="589622FF"/>
    <w:rsid w:val="595C29F9"/>
    <w:rsid w:val="5C405BA6"/>
    <w:rsid w:val="5D2E77C2"/>
    <w:rsid w:val="5D9D5369"/>
    <w:rsid w:val="5DBC3055"/>
    <w:rsid w:val="600C3522"/>
    <w:rsid w:val="61B80CB2"/>
    <w:rsid w:val="63867B94"/>
    <w:rsid w:val="64CC7B82"/>
    <w:rsid w:val="671029B6"/>
    <w:rsid w:val="688766EA"/>
    <w:rsid w:val="68EC566C"/>
    <w:rsid w:val="6B452A19"/>
    <w:rsid w:val="6B876F0C"/>
    <w:rsid w:val="6C1D3931"/>
    <w:rsid w:val="6CD5440F"/>
    <w:rsid w:val="6CDC7CD9"/>
    <w:rsid w:val="6EE70609"/>
    <w:rsid w:val="6F1D6CFC"/>
    <w:rsid w:val="7229219A"/>
    <w:rsid w:val="74734484"/>
    <w:rsid w:val="752F4B7C"/>
    <w:rsid w:val="754A2227"/>
    <w:rsid w:val="76573C24"/>
    <w:rsid w:val="77687776"/>
    <w:rsid w:val="779A68A3"/>
    <w:rsid w:val="79036943"/>
    <w:rsid w:val="79DC3CDC"/>
    <w:rsid w:val="7A2075F6"/>
    <w:rsid w:val="7A5A5423"/>
    <w:rsid w:val="7B0C0524"/>
    <w:rsid w:val="7BBC7874"/>
    <w:rsid w:val="7CB477C5"/>
    <w:rsid w:val="7CFF07F4"/>
    <w:rsid w:val="7F8455AD"/>
    <w:rsid w:val="7FA53B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2">
    <w:name w:val="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3">
    <w:name w:val="_Style 5"/>
    <w:basedOn w:val="2"/>
    <w:qFormat/>
    <w:uiPriority w:val="0"/>
    <w:pPr>
      <w:snapToGrid w:val="0"/>
      <w:spacing w:before="240" w:after="240" w:line="348" w:lineRule="auto"/>
    </w:p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B6585A-2E5F-43D2-9D1A-19091CE1E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renshi</Company>
  <Pages>3</Pages>
  <Words>157</Words>
  <Characters>898</Characters>
  <Lines>7</Lines>
  <Paragraphs>2</Paragraphs>
  <TotalTime>3</TotalTime>
  <ScaleCrop>false</ScaleCrop>
  <LinksUpToDate>false</LinksUpToDate>
  <CharactersWithSpaces>1053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2020-01-07T01:31:00Z</dcterms:created>
  <dc:creator>a</dc:creator>
  <cp:lastModifiedBy>Administrator</cp:lastModifiedBy>
  <cp:lastPrinted>2021-01-15T04:08:28Z</cp:lastPrinted>
  <dcterms:modified xsi:type="dcterms:W3CDTF">2021-01-15T04:19:30Z</dcterms:modified>
  <dc:title>关于申报全省党政机关2007年统一考试录用公务员录用计划的通知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