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17"/>
          <w:szCs w:val="17"/>
        </w:rPr>
      </w:pPr>
      <w:bookmarkStart w:id="0" w:name="_GoBack"/>
      <w:r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澄江市教育体育系统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C3C3C"/>
          <w:spacing w:val="0"/>
          <w:sz w:val="25"/>
          <w:szCs w:val="25"/>
          <w:bdr w:val="none" w:color="auto" w:sz="0" w:space="0"/>
          <w:shd w:val="clear" w:fill="FFFFFF"/>
        </w:rPr>
        <w:t>招聘岗位及要求</w:t>
      </w:r>
    </w:p>
    <w:bookmarkEnd w:id="0"/>
    <w:tbl>
      <w:tblPr>
        <w:tblW w:w="68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6"/>
        <w:gridCol w:w="1125"/>
        <w:gridCol w:w="912"/>
        <w:gridCol w:w="36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3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招聘单位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招聘岗位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人数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专业及专业方向要求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澄江市第一中学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体育教师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体育教育；体育；体育学及相近专业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3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政治教师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政治教育；政治与思想品德教育及相近专业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历史教师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历史教育；历史；历史学及相近专业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物理教师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物理教育；物理；物理学及相近专业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化学教师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化学教育；化学；应用化学及相近专业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地理教师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地理教育；地理学及相近专业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澄江市第二中学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物理教师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物理教育；物理；物理学及相近专业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3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美术教师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美术教育；美术及相近专业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澄江市第六中学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英语教师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英语教育；英语及相近专业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澄江市凤山小学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语文教师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语文教育；汉语言文学及相近专业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数学教师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数学教育；数学；数学与应用数学及相近专业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信息技术教师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计算机应用；教育技术及相近专业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特殊教育教师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特殊教育、特殊教育学及相近专业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澄江市机关幼儿园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幼儿教师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10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学前教育、幼儿教育及相近专业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澄江市龙街中心幼儿园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幼儿教师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学前教育、幼儿教育及相近专业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2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澄江市职业高级中学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地理教师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地理教育；地理学及相近专业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政治教师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政治教育；政治与思想品德教育及相近专业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8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历史教师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历史教育；历史；历史学及相近专业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土木工程教师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建筑学；建筑与土木工程及相近专业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旅游专业教师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旅游；旅游服务；旅游管理及相近专业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12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电工方向教师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焊接工艺及设备、焊接技术及相近专业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9" w:hRule="atLeast"/>
          <w:jc w:val="center"/>
        </w:trPr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澄江市少年儿童业余训练体校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体育教练员</w:t>
            </w:r>
          </w:p>
        </w:tc>
        <w:tc>
          <w:tcPr>
            <w:tcW w:w="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3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C3C3C"/>
                <w:spacing w:val="0"/>
                <w:sz w:val="17"/>
                <w:szCs w:val="17"/>
                <w:bdr w:val="none" w:color="auto" w:sz="0" w:space="0"/>
              </w:rPr>
              <w:t>体育；体育学及相近专业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630CEA"/>
    <w:rsid w:val="2A630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2020-12-24T11:18:00Z</dcterms:created>
  <dc:creator>ASUS</dc:creator>
  <cp:lastModifiedBy>ASUS</cp:lastModifiedBy>
  <dcterms:modified xsi:type="dcterms:W3CDTF">2020-12-24T11:19:16Z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