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666666"/>
          <w:spacing w:val="0"/>
          <w:sz w:val="18"/>
          <w:szCs w:val="18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16DCF"/>
          <w:spacing w:val="0"/>
          <w:sz w:val="30"/>
          <w:szCs w:val="30"/>
          <w:bdr w:val="none" w:color="auto" w:sz="0" w:space="0"/>
          <w:shd w:val="clear" w:fill="FFFFFF"/>
        </w:rPr>
        <w:t>舟山医院公开招聘卫生专业紧缺高层次人才</w:t>
      </w:r>
      <w:r>
        <w:rPr>
          <w:rStyle w:val="6"/>
          <w:rFonts w:ascii="仿宋" w:hAnsi="仿宋" w:eastAsia="仿宋" w:cs="仿宋"/>
          <w:b/>
          <w:i w:val="0"/>
          <w:iCs w:val="0"/>
          <w:caps w:val="0"/>
          <w:color w:val="333333"/>
          <w:spacing w:val="13"/>
          <w:sz w:val="25"/>
          <w:szCs w:val="25"/>
          <w:bdr w:val="none" w:color="auto" w:sz="0" w:space="0"/>
          <w:shd w:val="clear" w:fill="FFFFFF"/>
        </w:rPr>
        <w:t>招聘计划</w:t>
      </w:r>
    </w:p>
    <w:bookmarkEnd w:id="0"/>
    <w:tbl>
      <w:tblPr>
        <w:tblW w:w="7530" w:type="dxa"/>
        <w:tblCellSpacing w:w="0" w:type="dxa"/>
        <w:tblInd w:w="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7"/>
        <w:gridCol w:w="1061"/>
        <w:gridCol w:w="682"/>
        <w:gridCol w:w="1336"/>
        <w:gridCol w:w="626"/>
        <w:gridCol w:w="3468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tblCellSpacing w:w="0" w:type="dxa"/>
        </w:trPr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招聘岗位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学历学位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需求专业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招聘计划数</w:t>
            </w:r>
          </w:p>
        </w:tc>
        <w:tc>
          <w:tcPr>
            <w:tcW w:w="3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tblCellSpacing w:w="0" w:type="dxa"/>
        </w:trPr>
        <w:tc>
          <w:tcPr>
            <w:tcW w:w="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眼科中心学科带头人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眼科学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1、具有眼科学主任医师专业技术资格；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2、具有五年以上三级医院眼科工作经验；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3、年龄要求在50周岁以下（1970年4月29日后出生）。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tblCellSpacing w:w="0" w:type="dxa"/>
        </w:trPr>
        <w:tc>
          <w:tcPr>
            <w:tcW w:w="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临床医技科室博士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医学类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13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1、年龄要求在45周岁以下（1975年4月29日后出生）；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2、具有执业医师专业技术资格。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  <w:tblCellSpacing w:w="0" w:type="dxa"/>
        </w:trPr>
        <w:tc>
          <w:tcPr>
            <w:tcW w:w="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急诊科高年资医生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临床医学、急诊医学、内科学、外科学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1、具有急诊医学或外内科系列副主任医师及以上专业技术资格；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2、年龄要求在45周岁以下（1975年4月29日后出生）。                              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  <w:tblCellSpacing w:w="0" w:type="dxa"/>
        </w:trPr>
        <w:tc>
          <w:tcPr>
            <w:tcW w:w="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麻醉手术部高年资医生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临床医学、麻醉学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1、具有麻醉学副主任医师及以上专业技术资格；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2、年龄要求在45周岁以下（1975年4月29日后出生）。                            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tblCellSpacing w:w="0" w:type="dxa"/>
        </w:trPr>
        <w:tc>
          <w:tcPr>
            <w:tcW w:w="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儿科高年资医生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临床医学、儿科学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1、具有儿科学副主任医师及以上专业技术资格；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2、年龄要求在45周岁以下（1975年4月29日后出生）。                       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tblCellSpacing w:w="0" w:type="dxa"/>
        </w:trPr>
        <w:tc>
          <w:tcPr>
            <w:tcW w:w="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妇科高年资医生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临床医学、妇产科学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1、具有妇产科学副主任医师及以上专业技术资格；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2、年龄要求在45周岁以下（1975年4月29日后出生）。  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tblCellSpacing w:w="0" w:type="dxa"/>
        </w:trPr>
        <w:tc>
          <w:tcPr>
            <w:tcW w:w="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皮肤科高年资医生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临床医学、皮肤病与性病学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1、具有皮肤病与性病学副主任医师及以上专业技术资格；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2、年龄要求在45周岁以下（1975年4月29日后出生）。                  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tblCellSpacing w:w="0" w:type="dxa"/>
        </w:trPr>
        <w:tc>
          <w:tcPr>
            <w:tcW w:w="343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合计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ahoma" w:hAnsi="Tahoma" w:eastAsia="Tahoma" w:cs="Tahom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23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13" w:lineRule="atLeast"/>
        <w:ind w:left="0" w:right="0" w:firstLine="538"/>
        <w:rPr>
          <w:rFonts w:hint="default" w:ascii="Tahoma" w:hAnsi="Tahoma" w:eastAsia="Tahoma" w:cs="Tahoma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3"/>
          <w:sz w:val="25"/>
          <w:szCs w:val="25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E6FDF"/>
    <w:rsid w:val="7AAE6F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2021-04-29T09:39:00Z</dcterms:created>
  <dc:creator>WPS_1609033458</dc:creator>
  <cp:lastModifiedBy>WPS_1609033458</cp:lastModifiedBy>
  <dcterms:modified xsi:type="dcterms:W3CDTF">2021-04-29T09:40:02Z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FBAB4972FF604ECC82610BE1A9EDDAAC</vt:lpwstr>
  </property>
</Properties>
</file>