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701"/>
        <w:gridCol w:w="1417"/>
        <w:gridCol w:w="1701"/>
        <w:gridCol w:w="1418"/>
        <w:gridCol w:w="1701"/>
        <w:gridCol w:w="4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华文中宋" w:eastAsia="方正小标宋简体" w:cs="宋体"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44"/>
                <w:szCs w:val="44"/>
              </w:rPr>
              <w:t>国际交流合作中心2021年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华文中宋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44"/>
                <w:szCs w:val="44"/>
              </w:rPr>
              <w:t>公开招聘应届</w:t>
            </w:r>
            <w:r>
              <w:rPr>
                <w:rFonts w:hint="eastAsia" w:ascii="方正小标宋简体" w:hAnsi="华文中宋" w:eastAsia="方正小标宋简体" w:cs="宋体"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高校</w:t>
            </w: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44"/>
                <w:szCs w:val="44"/>
              </w:rPr>
              <w:t>毕业生岗位信息表</w:t>
            </w:r>
          </w:p>
          <w:p>
            <w:pPr>
              <w:widowControl/>
              <w:spacing w:line="320" w:lineRule="exact"/>
              <w:jc w:val="center"/>
              <w:rPr>
                <w:rFonts w:ascii="方正小标宋简体" w:hAnsi="华文中宋" w:eastAsia="方正小标宋简体" w:cs="宋体"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部门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学位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生源地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科技信息处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京内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1.本科所学专业为英语专业；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2.硕士研究生研究方向为英语翻译；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3.持有英语翻译资格二级笔译或二级口译及以上证书；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4.有较好的语言表达能力和沟通协调能力。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出国服务处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翻译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京外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1.本科所学专业为法语专业；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2.硕士研究生研究方向为法语翻译；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3.持有法语翻译资格二级笔译或二级口译及以上证书；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4.有较好的语言表达能力和沟通协调能力。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600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4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注：1.京内生源指入学前已具有北京市常住户口的毕业生，仅具有北京高校集体户口不属于京内生源。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2.凡在入学前签订了定向培养和委托培养协议的定向生、委培生，海外留学归国人员，在读期间有社会保险缴存记录的，不属于应届高校毕业生公开招聘范围。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81056"/>
    <w:rsid w:val="5D881056"/>
    <w:rsid w:val="5FC84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2021-04-29T01:50:00Z</dcterms:created>
  <dc:creator>user</dc:creator>
  <cp:lastModifiedBy>ぺ灬cc果冻ル</cp:lastModifiedBy>
  <dcterms:modified xsi:type="dcterms:W3CDTF">2021-04-29T04:13:59Z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