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-326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30"/>
          <w:szCs w:val="30"/>
          <w:shd w:val="clear" w:fill="FFFFFF"/>
        </w:rPr>
        <w:t>三亚市吉阳区</w:t>
      </w:r>
      <w:r>
        <w:rPr>
          <w:rFonts w:hint="default" w:ascii="Calibri" w:hAnsi="Calibri" w:eastAsia="宋体" w:cs="Calibri"/>
          <w:b/>
          <w:color w:val="222222"/>
          <w:sz w:val="30"/>
          <w:szCs w:val="30"/>
          <w:shd w:val="clear" w:fill="FFFFFF"/>
        </w:rPr>
        <w:t>2018</w:t>
      </w:r>
      <w:r>
        <w:rPr>
          <w:rFonts w:hint="eastAsia" w:ascii="宋体" w:hAnsi="宋体" w:eastAsia="宋体" w:cs="宋体"/>
          <w:b/>
          <w:color w:val="222222"/>
          <w:sz w:val="30"/>
          <w:szCs w:val="30"/>
          <w:shd w:val="clear" w:fill="FFFFFF"/>
        </w:rPr>
        <w:t>年医疗卫生“银发精英”汇聚计划岗位需求表</w:t>
      </w:r>
    </w:p>
    <w:tbl>
      <w:tblPr>
        <w:tblW w:w="8517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52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122" w:hRule="atLeast"/>
          <w:jc w:val="center"/>
        </w:trPr>
        <w:tc>
          <w:tcPr>
            <w:tcW w:w="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222222"/>
                <w:sz w:val="24"/>
                <w:szCs w:val="24"/>
              </w:rPr>
              <w:t>序号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用人单位名称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单位性质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拟引才岗位名称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岗位数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专业要求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学历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职称</w:t>
            </w:r>
          </w:p>
        </w:tc>
        <w:tc>
          <w:tcPr>
            <w:tcW w:w="5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南新医院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妇科医生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妇产科专业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1.全日制大专及以上学历，取得副高或以上职称；                               2.在二级甲等或二级甲等以上医院临床工作年限≥5年;                                 3.临床经验丰富，能起到学科带头作用。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南新医院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儿科医生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儿科专业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 xml:space="preserve">1.全日制大专及以上学历，取得副高或以上职称；                                                  2.在二级甲等或二级甲等以上医院临床工作年限≥5年；                                 3.对于儿科常见病、多发病、重急症诊疗有丰富的临床经验；  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2"/>
                <w:szCs w:val="22"/>
              </w:rPr>
              <w:t>田独卫生院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中医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中医内科专业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 xml:space="preserve">1.全日制大专及以上学历，取得副高或以上职称；                              2.在二级甲等或二级甲等以上医院临床工作年限≥5年；                                      3.对于中医针灸、理疗等诊疗有丰富的临床操作经验；         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2"/>
                <w:szCs w:val="22"/>
              </w:rPr>
              <w:t>田独卫生院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儿科医生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儿科专业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 xml:space="preserve">1.全日制大专及以上学历，取得副高或以上职称；                                        2.在二级甲等或二级甲等以上医院临床工作年限≥5年；                                 3.对于儿科常见病、多发病、重急症诊疗有丰富的临床经验； 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荔枝沟卫生院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全科医生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全科医学专业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 xml:space="preserve">1.全日制大专及以上学历，取得全科医师副高或以上职称；                           2.在二级甲等或二级甲等以上医院临床工作年限≥5年；                         3.对于常见病、多发病、重急症诊疗有丰富的临床经验；                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荔枝沟卫生院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中医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中医内科专业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 xml:space="preserve">1.全日制大专及以上学历，取得副高或以上职称；                                         2.在二级甲等或二级甲等以上医院临床工作年限≥5年；                     3.对于中医针灸、理疗等诊疗有丰富的临床操作经验；                                                                                  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河东社区卫生服务中心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儿科医生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儿科专业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 xml:space="preserve">1.全日制大专及以上学历，取得副高或以上职称；                            2.在二级甲等或二级甲等以上医院临床工作年限≥5年；                    3.对于儿科常见病、多发病、重急症诊疗有丰富的临床经验；     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  <w:jc w:val="center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河东社区卫生服务中心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差额事业单位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口腔科医生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口腔科专业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大专及以上学历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副主任医师或主任医师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1.全日制大专及以上学历，取得副高或以上职称；                                 2.在二级甲等或二级甲等以上医院临床工作年限≥5年；                            3.对于口腔科诊疗有丰富的临床经验；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5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66C87"/>
    <w:rsid w:val="22F66C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Emphasis"/>
    <w:basedOn w:val="3"/>
    <w:qFormat/>
    <w:uiPriority w:val="0"/>
    <w:rPr>
      <w:color w:val="CCCCCC"/>
      <w:sz w:val="14"/>
      <w:szCs w:val="14"/>
    </w:rPr>
  </w:style>
  <w:style w:type="character" w:styleId="6">
    <w:name w:val="Hyperlink"/>
    <w:basedOn w:val="3"/>
    <w:uiPriority w:val="0"/>
    <w:rPr>
      <w:color w:val="222222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2018-10-16T10:14:00Z</dcterms:created>
  <dc:creator>武大娟</dc:creator>
  <cp:lastModifiedBy>武大娟</cp:lastModifiedBy>
  <dcterms:modified xsi:type="dcterms:W3CDTF">2018-10-16T10:15:08Z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