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95757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595757"/>
          <w:spacing w:val="15"/>
          <w:sz w:val="24"/>
          <w:szCs w:val="24"/>
          <w:bdr w:val="none" w:color="auto" w:sz="0" w:space="0"/>
          <w:shd w:val="clear" w:fill="FFFFFF"/>
        </w:rPr>
        <w:t>招聘岗位及要求</w:t>
      </w:r>
      <w: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64"/>
        <w:gridCol w:w="2824"/>
        <w:gridCol w:w="28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招聘岗位 </w:t>
            </w:r>
          </w:p>
        </w:tc>
        <w:tc>
          <w:tcPr>
            <w:tcW w:w="12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招聘人数 </w:t>
            </w:r>
          </w:p>
        </w:tc>
        <w:tc>
          <w:tcPr>
            <w:tcW w:w="289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招聘对象 </w:t>
            </w:r>
          </w:p>
        </w:tc>
        <w:tc>
          <w:tcPr>
            <w:tcW w:w="294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要求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研究岗 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4 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2020年国内普通高校应届毕业生（京内生源、京外生源）、出站博士后、社会在职人员（京外户籍、京内户籍）、留学人员 </w:t>
            </w:r>
          </w:p>
        </w:tc>
        <w:tc>
          <w:tcPr>
            <w:tcW w:w="29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ascii="Calibri" w:hAnsi="Calibri" w:eastAsia="宋体" w:cs="Calibri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）具有博士学位；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）马克思主义中国化、马克思主义历史理论、史学理论与史学史、国家治理史、中外文明、中国通史、海外中国学及其他相关专业方向；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）具有扎实的专业知识和理论功底，较高的业务素质和科研能力，研究潜力可期，在国内外至少发表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篇学术论文或出版高质量专著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部。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编辑岗 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1 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2020年国内普通高校应届毕业生（京内生源、京外生源）、出站博士后、社会在职人员（京外户籍、京内户籍）、留学人员 </w:t>
            </w:r>
          </w:p>
        </w:tc>
        <w:tc>
          <w:tcPr>
            <w:tcW w:w="29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）具有历史学博士学位；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15"/>
                <w:sz w:val="24"/>
                <w:szCs w:val="24"/>
                <w:bdr w:val="none" w:color="auto" w:sz="0" w:space="0"/>
              </w:rPr>
              <w:t>）有较强的文字编辑能力，取得编辑资格证或有编辑工作经验者优先考虑。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2020-06-04T02:16:28Z</dcterms:created>
  <dc:creator>Administrator</dc:creator>
  <cp:lastModifiedBy>那时花开咖啡馆。</cp:lastModifiedBy>
  <dcterms:modified xsi:type="dcterms:W3CDTF">2020-06-04T02:16:30Z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