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80" w:beforeAutospacing="0" w:after="0" w:afterAutospacing="0" w:line="401" w:lineRule="atLeast"/>
        <w:ind w:left="0" w:right="0"/>
        <w:jc w:val="center"/>
        <w:rPr>
          <w:rFonts w:ascii="仿宋_GB2312" w:eastAsia="仿宋_GB2312" w:cs="仿宋_GB2312"/>
          <w:b w:val="0"/>
          <w:color w:val="333333"/>
          <w:sz w:val="20"/>
          <w:szCs w:val="20"/>
        </w:rPr>
      </w:pPr>
      <w:r>
        <w:rPr>
          <w:rFonts w:ascii="方正小标宋简体" w:hAnsi="方正小标宋简体" w:eastAsia="方正小标宋简体" w:cs="方正小标宋简体"/>
          <w:b w:val="0"/>
          <w:i w:val="0"/>
          <w:caps w:val="0"/>
          <w:color w:val="333333"/>
          <w:spacing w:val="0"/>
          <w:sz w:val="20"/>
          <w:szCs w:val="20"/>
          <w:bdr w:val="none" w:color="auto" w:sz="0" w:space="0"/>
          <w:shd w:val="clear" w:fill="FFFFFF"/>
        </w:rPr>
        <w:t>2020年安阳市龙安区事业单位面向社会公开引进急需紧缺及高层次人才岗位表</w:t>
      </w:r>
    </w:p>
    <w:tbl>
      <w:tblPr>
        <w:tblW w:w="11107" w:type="dxa"/>
        <w:tblInd w:w="0" w:type="dxa"/>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Layout w:type="autofit"/>
        <w:tblCellMar>
          <w:top w:w="0" w:type="dxa"/>
          <w:left w:w="0" w:type="dxa"/>
          <w:bottom w:w="0" w:type="dxa"/>
          <w:right w:w="0" w:type="dxa"/>
        </w:tblCellMar>
      </w:tblPr>
      <w:tblGrid>
        <w:gridCol w:w="388"/>
        <w:gridCol w:w="1113"/>
        <w:gridCol w:w="1576"/>
        <w:gridCol w:w="625"/>
        <w:gridCol w:w="976"/>
        <w:gridCol w:w="2238"/>
        <w:gridCol w:w="1164"/>
        <w:gridCol w:w="1313"/>
        <w:gridCol w:w="775"/>
        <w:gridCol w:w="939"/>
      </w:tblGrid>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ascii="黑体" w:hAnsi="宋体" w:eastAsia="黑体" w:cs="黑体"/>
                <w:b w:val="0"/>
                <w:color w:val="333333"/>
                <w:sz w:val="20"/>
                <w:szCs w:val="20"/>
                <w:bdr w:val="none" w:color="auto" w:sz="0" w:space="0"/>
              </w:rPr>
              <w:t>序号</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引进单位</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引进单位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二级机构</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性质</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岗位代码</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专业</w:t>
            </w:r>
          </w:p>
        </w:tc>
        <w:tc>
          <w:tcPr>
            <w:tcW w:w="1165"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（学位）</w:t>
            </w:r>
          </w:p>
        </w:tc>
        <w:tc>
          <w:tcPr>
            <w:tcW w:w="1315"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专业技术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任职资格</w:t>
            </w: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需求</w:t>
            </w:r>
            <w:r>
              <w:rPr>
                <w:rFonts w:hint="eastAsia" w:ascii="黑体" w:hAnsi="宋体" w:eastAsia="黑体" w:cs="黑体"/>
                <w:b w:val="0"/>
                <w:color w:val="333333"/>
                <w:sz w:val="20"/>
                <w:szCs w:val="20"/>
                <w:bdr w:val="none" w:color="auto" w:sz="0" w:space="0"/>
              </w:rPr>
              <w:br w:type="textWrapping"/>
            </w:r>
            <w:r>
              <w:rPr>
                <w:rFonts w:hint="eastAsia" w:ascii="黑体" w:hAnsi="宋体" w:eastAsia="黑体" w:cs="黑体"/>
                <w:b w:val="0"/>
                <w:color w:val="333333"/>
                <w:sz w:val="20"/>
                <w:szCs w:val="20"/>
                <w:bdr w:val="none" w:color="auto" w:sz="0" w:space="0"/>
              </w:rPr>
              <w:t>人数</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eastAsia" w:ascii="黑体" w:hAnsi="宋体" w:eastAsia="黑体" w:cs="黑体"/>
                <w:b w:val="0"/>
                <w:color w:val="333333"/>
                <w:sz w:val="20"/>
                <w:szCs w:val="20"/>
                <w:bdr w:val="none" w:color="auto" w:sz="0" w:space="0"/>
              </w:rPr>
              <w:t>备注</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CellMar>
            <w:top w:w="0" w:type="dxa"/>
            <w:left w:w="0" w:type="dxa"/>
            <w:bottom w:w="0" w:type="dxa"/>
            <w:right w:w="0" w:type="dxa"/>
          </w:tblCellMar>
        </w:tblPrEx>
        <w:tc>
          <w:tcPr>
            <w:tcW w:w="388"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1114"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卫生健康  委员会</w:t>
            </w:r>
          </w:p>
        </w:tc>
        <w:tc>
          <w:tcPr>
            <w:tcW w:w="1578"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疾病预防控制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中心</w:t>
            </w:r>
          </w:p>
        </w:tc>
        <w:tc>
          <w:tcPr>
            <w:tcW w:w="626"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0101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医学检验技术、卫生检验与检疫</w:t>
            </w:r>
          </w:p>
        </w:tc>
        <w:tc>
          <w:tcPr>
            <w:tcW w:w="1165"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全日制硕士研究生及以上学历和相应学位</w:t>
            </w:r>
          </w:p>
        </w:tc>
        <w:tc>
          <w:tcPr>
            <w:tcW w:w="1315"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副高级及以上职称须同时具备全日制本科及以上学历和相应学位</w:t>
            </w: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114"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578"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626"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0102</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预防医学、临床医学</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CellMar>
            <w:top w:w="0" w:type="dxa"/>
            <w:left w:w="0" w:type="dxa"/>
            <w:bottom w:w="0" w:type="dxa"/>
            <w:right w:w="0" w:type="dxa"/>
          </w:tblCellMar>
        </w:tblPrEx>
        <w:tc>
          <w:tcPr>
            <w:tcW w:w="388"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2</w:t>
            </w:r>
          </w:p>
        </w:tc>
        <w:tc>
          <w:tcPr>
            <w:tcW w:w="1114"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农业农村局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农村能源站</w:t>
            </w:r>
          </w:p>
        </w:tc>
        <w:tc>
          <w:tcPr>
            <w:tcW w:w="626"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0201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农业水利工程</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CellMar>
            <w:top w:w="0" w:type="dxa"/>
            <w:left w:w="0" w:type="dxa"/>
            <w:bottom w:w="0" w:type="dxa"/>
            <w:right w:w="0" w:type="dxa"/>
          </w:tblCellMar>
        </w:tblPrEx>
        <w:tc>
          <w:tcPr>
            <w:tcW w:w="388"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114"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新型农村社区建设服务中心</w:t>
            </w:r>
          </w:p>
        </w:tc>
        <w:tc>
          <w:tcPr>
            <w:tcW w:w="626"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0202</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资源和环境经济学</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3</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交通局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道路运输服务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中心</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0301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交通工程</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4</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水利局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小型水库工作站</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0401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水利水电工程</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5</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住建局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村镇建设服务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中心</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0501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建筑学</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6</w:t>
            </w:r>
          </w:p>
        </w:tc>
        <w:tc>
          <w:tcPr>
            <w:tcW w:w="1114"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应急管理局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安全生产监察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大队</w:t>
            </w:r>
          </w:p>
        </w:tc>
        <w:tc>
          <w:tcPr>
            <w:tcW w:w="626"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0601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安全工程</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114"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防汛抗旱指挥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事务中心</w:t>
            </w:r>
          </w:p>
        </w:tc>
        <w:tc>
          <w:tcPr>
            <w:tcW w:w="626"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0602</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化学工程与工业生物工程、冶金工程</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2</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7</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工信局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煤炭事务中心</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0701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计算机科学与技术、材料科学与工程</w:t>
            </w:r>
          </w:p>
        </w:tc>
        <w:tc>
          <w:tcPr>
            <w:tcW w:w="1165"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全日制硕士研究生及以上学历和相应学位</w:t>
            </w:r>
          </w:p>
        </w:tc>
        <w:tc>
          <w:tcPr>
            <w:tcW w:w="1315"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副高级及以上职称须同时具备全日制本科及以上学历和相应学位</w:t>
            </w: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CellMar>
            <w:top w:w="0" w:type="dxa"/>
            <w:left w:w="0" w:type="dxa"/>
            <w:bottom w:w="0" w:type="dxa"/>
            <w:right w:w="0" w:type="dxa"/>
          </w:tblCellMar>
        </w:tblPrEx>
        <w:tc>
          <w:tcPr>
            <w:tcW w:w="388"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8</w:t>
            </w:r>
          </w:p>
        </w:tc>
        <w:tc>
          <w:tcPr>
            <w:tcW w:w="1114"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 发改委</w:t>
            </w:r>
          </w:p>
        </w:tc>
        <w:tc>
          <w:tcPr>
            <w:tcW w:w="1578"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重点项目建设服务中心</w:t>
            </w:r>
          </w:p>
        </w:tc>
        <w:tc>
          <w:tcPr>
            <w:tcW w:w="626"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0801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国民经济管理</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vMerge w:val="restart"/>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114"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578"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626"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0802</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经济统计学</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9</w:t>
            </w:r>
          </w:p>
        </w:tc>
        <w:tc>
          <w:tcPr>
            <w:tcW w:w="1114"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财政局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人民政府采购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中心</w:t>
            </w:r>
          </w:p>
        </w:tc>
        <w:tc>
          <w:tcPr>
            <w:tcW w:w="626" w:type="dxa"/>
            <w:vMerge w:val="restart"/>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0901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工程造价</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CellMar>
            <w:top w:w="0" w:type="dxa"/>
            <w:left w:w="0" w:type="dxa"/>
            <w:bottom w:w="0" w:type="dxa"/>
            <w:right w:w="0" w:type="dxa"/>
          </w:tblCellMar>
        </w:tblPrEx>
        <w:tc>
          <w:tcPr>
            <w:tcW w:w="388"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114"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会计核算中心</w:t>
            </w:r>
          </w:p>
        </w:tc>
        <w:tc>
          <w:tcPr>
            <w:tcW w:w="626"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0902</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经济法学、金融学</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2</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10</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审计局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经济责任审计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服务中心</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1001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审计学、会计学</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11</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统计局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企业调查队</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1101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经济统计学</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12</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市场监管局</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食品药品监督管理中心</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1201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质量管理工程</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tblCellMar>
            <w:top w:w="0" w:type="dxa"/>
            <w:left w:w="0" w:type="dxa"/>
            <w:bottom w:w="0" w:type="dxa"/>
            <w:right w:w="0" w:type="dxa"/>
          </w:tblCellMar>
        </w:tblPrEx>
        <w:tc>
          <w:tcPr>
            <w:tcW w:w="38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13</w:t>
            </w:r>
          </w:p>
        </w:tc>
        <w:tc>
          <w:tcPr>
            <w:tcW w:w="1114"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产业集聚区</w:t>
            </w:r>
          </w:p>
        </w:tc>
        <w:tc>
          <w:tcPr>
            <w:tcW w:w="1578"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 /</w:t>
            </w:r>
          </w:p>
        </w:tc>
        <w:tc>
          <w:tcPr>
            <w:tcW w:w="62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全供事业</w:t>
            </w:r>
          </w:p>
        </w:tc>
        <w:tc>
          <w:tcPr>
            <w:tcW w:w="977"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1301</w:t>
            </w:r>
          </w:p>
        </w:tc>
        <w:tc>
          <w:tcPr>
            <w:tcW w:w="2241"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城乡规划专业</w:t>
            </w:r>
          </w:p>
        </w:tc>
        <w:tc>
          <w:tcPr>
            <w:tcW w:w="116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1315" w:type="dxa"/>
            <w:vMerge w:val="continue"/>
            <w:tcBorders>
              <w:top w:val="single" w:color="666666" w:sz="4" w:space="0"/>
              <w:left w:val="single" w:color="666666" w:sz="4" w:space="0"/>
              <w:bottom w:val="single" w:color="666666" w:sz="4" w:space="0"/>
              <w:right w:val="single" w:color="666666" w:sz="4" w:space="0"/>
            </w:tcBorders>
            <w:shd w:val="clear"/>
            <w:vAlign w:val="center"/>
          </w:tcPr>
          <w:p>
            <w:pPr>
              <w:rPr>
                <w:rFonts w:hint="default" w:ascii="Helvetica" w:hAnsi="Helvetica" w:eastAsia="Helvetica" w:cs="Helvetica"/>
                <w:color w:val="333333"/>
                <w:sz w:val="17"/>
                <w:szCs w:val="17"/>
              </w:rPr>
            </w:pPr>
          </w:p>
        </w:tc>
        <w:tc>
          <w:tcPr>
            <w:tcW w:w="776" w:type="dxa"/>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1</w:t>
            </w:r>
          </w:p>
        </w:tc>
        <w:tc>
          <w:tcPr>
            <w:tcW w:w="914" w:type="dxa"/>
            <w:tcBorders>
              <w:top w:val="single" w:color="666666" w:sz="4" w:space="0"/>
              <w:left w:val="single" w:color="666666" w:sz="4" w:space="0"/>
              <w:bottom w:val="single" w:color="666666" w:sz="4" w:space="0"/>
              <w:right w:val="single" w:color="666666" w:sz="4" w:space="0"/>
            </w:tcBorders>
            <w:shd w:val="clear"/>
            <w:vAlign w:val="center"/>
          </w:tcPr>
          <w:p>
            <w:pPr>
              <w:keepNext w:val="0"/>
              <w:keepLines w:val="0"/>
              <w:widowControl/>
              <w:suppressLineNumbers w:val="0"/>
              <w:jc w:val="left"/>
              <w:rPr>
                <w:rFonts w:hint="default" w:ascii="Helvetica" w:hAnsi="Helvetica" w:eastAsia="Helvetica" w:cs="Helvetica"/>
                <w:color w:val="333333"/>
                <w:sz w:val="17"/>
                <w:szCs w:val="17"/>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0" w:type="dxa"/>
            <w:left w:w="0" w:type="dxa"/>
            <w:bottom w:w="0" w:type="dxa"/>
            <w:right w:w="0" w:type="dxa"/>
          </w:tblCellMar>
        </w:tblPrEx>
        <w:tc>
          <w:tcPr>
            <w:tcW w:w="1490" w:type="dxa"/>
            <w:gridSpan w:val="2"/>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总计</w:t>
            </w:r>
          </w:p>
        </w:tc>
        <w:tc>
          <w:tcPr>
            <w:tcW w:w="9617" w:type="dxa"/>
            <w:gridSpan w:val="8"/>
            <w:tcBorders>
              <w:top w:val="single" w:color="666666" w:sz="4" w:space="0"/>
              <w:left w:val="single" w:color="666666" w:sz="4" w:space="0"/>
              <w:bottom w:val="single" w:color="666666" w:sz="4" w:space="0"/>
              <w:right w:val="single" w:color="666666"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center"/>
              <w:rPr>
                <w:rFonts w:hint="default" w:ascii="仿宋_GB2312" w:eastAsia="仿宋_GB2312" w:cs="仿宋_GB2312"/>
                <w:b w:val="0"/>
                <w:color w:val="333333"/>
                <w:sz w:val="20"/>
                <w:szCs w:val="20"/>
              </w:rPr>
            </w:pPr>
            <w:r>
              <w:rPr>
                <w:rFonts w:hint="default" w:ascii="仿宋_GB2312" w:hAnsi="Helvetica" w:eastAsia="仿宋_GB2312" w:cs="仿宋_GB2312"/>
                <w:b w:val="0"/>
                <w:color w:val="333333"/>
                <w:sz w:val="20"/>
                <w:szCs w:val="20"/>
                <w:bdr w:val="none" w:color="auto" w:sz="0" w:space="0"/>
              </w:rPr>
              <w:t>20人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微软雅黑" w:hAnsi="微软雅黑" w:eastAsia="微软雅黑" w:cs="微软雅黑"/>
                <w:b w:val="0"/>
                <w:color w:val="000000"/>
                <w:sz w:val="15"/>
                <w:szCs w:val="15"/>
              </w:rPr>
            </w:pP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97353"/>
    <w:rsid w:val="08A97353"/>
    <w:rsid w:val="36CE12BF"/>
    <w:rsid w:val="73DC14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2020-10-26T04:45:00Z</dcterms:created>
  <dc:creator>ASUS</dc:creator>
  <cp:lastModifiedBy>ASUS</cp:lastModifiedBy>
  <dcterms:modified xsi:type="dcterms:W3CDTF">2020-10-26T04:45:29Z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