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 xml:space="preserve">附件： </w:t>
      </w:r>
    </w:p>
    <w:p>
      <w:pPr>
        <w:jc w:val="center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2019年度鄂尔多斯应用技术学院公开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引进高层次人才岗位</w:t>
      </w: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需求表</w:t>
      </w:r>
    </w:p>
    <w:p>
      <w:pPr>
        <w:jc w:val="left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>[注：本表中所提及硕士研究生都要求本科和硕士阶段均为我国重点大学（教育部公布的“双一流”建设高校及建设学科和原“985”工程高校、“211”工程高校）全日制应届或往届毕业；博士或副高及以上职称不做类似要求。]</w:t>
      </w:r>
    </w:p>
    <w:tbl>
      <w:tblPr>
        <w:tblStyle w:val="5"/>
        <w:tblpPr w:leftFromText="180" w:rightFromText="180" w:vertAnchor="text" w:horzAnchor="page" w:tblpXSpec="center" w:tblpY="383"/>
        <w:tblOverlap w:val="never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480"/>
        <w:gridCol w:w="1860"/>
        <w:gridCol w:w="3015"/>
        <w:gridCol w:w="645"/>
        <w:gridCol w:w="2130"/>
        <w:gridCol w:w="2625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系部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引进学科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岗位简介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人才数量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学历、学位或专业技术资格要求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学科方向要求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机械与交通工程系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01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机械类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从事机械工程方向的教学、科研工作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硕士及以上或副高及以上职称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机械工程、机械设计制造及其自动化、机电工程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本、硕专业相关；或职称专业相关；有企业经历者优先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02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机械类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从事机械方向的实践教学工作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硕士及以上；或副高及以上职称；或高级技师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机械工程、机械设计制造及其自动化、机电工程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本、硕专业相关；或职称专业相关；有企业经历者优先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03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航空航天类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从事飞行器设计制造与维修方向的教学、科研工作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硕士及以上或副高及以上职称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航空航天工程、飞行器设计与工程、飞行器制造工程、飞行器动力工程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本、硕专业相关；或职称专业相关；有企业经历者优先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04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机械类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（汽车服务工程）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从事车辆工程或汽车服务工程方向的教学、科研工作、实习实训工作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硕士及以上或副高及以上职称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车辆工程/汽车服务工程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本、硕专业相关；或职称专业相关；有企业经历者优先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05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交通运输类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从事交通运输专业的教学、科研工作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硕士及以上或副高及以上职称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交通运输规划与管理、交通工程、物流工程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本、硕专业相关；或职称专业相关；有企业经历者优先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06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交通运输类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从事物流工程、电子商务等相关软件的操作，指导学生物流软件的学习、物流课程设计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硕士及以上或副高及以上职称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物流工程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本、硕专业相关；或职称专业相关；有企业经历者优先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信息工程系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07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信息与通信工程、电子科学与技术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硕士及以上或副高及以上职称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通信与信息系统、信号与信息处理、电路与系统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08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控制科学与工程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</w:t>
            </w:r>
            <w:r>
              <w:rPr>
                <w:rFonts w:hint="eastAsia" w:ascii="Times New Roman" w:hAnsi="Times New Roman" w:cs="Times New Roman"/>
                <w:szCs w:val="21"/>
              </w:rPr>
              <w:t>或</w:t>
            </w:r>
            <w:r>
              <w:rPr>
                <w:rFonts w:ascii="Times New Roman" w:hAnsi="Times New Roman" w:cs="Times New Roman"/>
                <w:szCs w:val="21"/>
              </w:rPr>
              <w:t>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控制理论与控制工程、检测技术与自动化装置、模式识别与智能系统、系统工程、导航、制导与控制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09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电气工程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</w:t>
            </w:r>
            <w:r>
              <w:rPr>
                <w:rFonts w:hint="eastAsia" w:ascii="Times New Roman" w:hAnsi="Times New Roman" w:cs="Times New Roman"/>
                <w:szCs w:val="21"/>
              </w:rPr>
              <w:t>或</w:t>
            </w:r>
            <w:r>
              <w:rPr>
                <w:rFonts w:ascii="Times New Roman" w:hAnsi="Times New Roman" w:cs="Times New Roman"/>
                <w:szCs w:val="21"/>
              </w:rPr>
              <w:t>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电力系统及其自动化、电力电子与电力传动、电机与电器、电工理论与新技术、高压电与绝缘技术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物理学、电子科学与技术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博士及以上或副高及以上职称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光学、凝聚态物理、无线电物理；物理电子学、微电子学与固体电子学、电磁场与微波技术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航空宇航科学技术、仪器科学与技术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硕士及以上或副高及以上职称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飞行器设计、精密仪器及机械等相关方向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农业工程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博士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农业生物环境与能源工程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有教学相关工作经验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土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木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程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系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土木工程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从事土木工程方向的教学、科研工作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土木工程及相关专业方向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有专业建设经验者优先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土木工程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从事土木工程方向的教学、科研工作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结构工程、建筑工程或相关专业方向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地质资源与地质工程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从事地质工程方向的教学、科研工作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地质工程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地质资源与地质工程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从事地质工程（或矿物资源工程方向）的教学、科研工作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矿物资源工程（或地质工程）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有专业建设经验者优先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地质资源与地质工程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从事地质工程（或矿物资源工程方向）的教学、科研工作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矿物资源工程（或地质工程）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管理科学与工程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从事工程造价（或工程管理）方向的教学、科研工作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工程造价（或工程管理）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有专业建设经验者优先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管理科学与工程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从事工程造价（或工程管理）方向的教学、科研工作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工程造价（或工程管理）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地球物理学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从事地球物理学方向的教学、科研工作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地球物理学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化学工程系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化学工程与技术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从事化学工程与工艺专业的教学、科研工作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正教授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化学工程、化学工艺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煤化工、天然气化工、石油化工或氯碱化工方向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化学工程与技术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从事化学工程与工艺专业的教学、科研工作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博士或副高及以上职称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化学工程、化学工艺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有本科教学或企业相关工作经验者学历要求可放宽至硕士</w:t>
            </w:r>
            <w:r>
              <w:rPr>
                <w:rFonts w:hint="eastAsia" w:ascii="Times New Roman" w:hAnsi="Times New Roman" w:cs="Times New Roman"/>
                <w:szCs w:val="21"/>
              </w:rPr>
              <w:t>；</w:t>
            </w:r>
            <w:r>
              <w:rPr>
                <w:rFonts w:ascii="Times New Roman" w:hAnsi="Times New Roman" w:cs="Times New Roman"/>
                <w:szCs w:val="21"/>
              </w:rPr>
              <w:t>研究方向为煤化工、天然气化工、石油化工或氯碱化工者优先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化学工程与技术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从事化学工程与工艺专业的实验实践教学工作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化学工程、化学工艺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有从事化学、化工相关仪器设备操作及管理工作经验者</w:t>
            </w:r>
            <w:r>
              <w:rPr>
                <w:rFonts w:hint="eastAsia" w:ascii="Times New Roman" w:hAnsi="Times New Roman" w:cs="Times New Roman"/>
                <w:szCs w:val="21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材料科学与工程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从事材料化学专业的教学、科研工作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正教授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材料学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无机非金属材料、高分子材料、稀土材料、能源材料方向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材料科学与工程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从事材料化学专业的教学、科研工作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博士或副高及以上职称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材料学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有本科教学或企业相关工作经验者学历要求可放宽至硕士</w:t>
            </w:r>
            <w:r>
              <w:rPr>
                <w:rFonts w:hint="eastAsia" w:ascii="Times New Roman" w:hAnsi="Times New Roman" w:cs="Times New Roman"/>
                <w:szCs w:val="21"/>
              </w:rPr>
              <w:t>；</w:t>
            </w:r>
            <w:r>
              <w:rPr>
                <w:rFonts w:ascii="Times New Roman" w:hAnsi="Times New Roman" w:cs="Times New Roman"/>
                <w:szCs w:val="21"/>
              </w:rPr>
              <w:t>研究方向为无机非金属材料、高分子材料、稀土材料、能源材料者优先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应用化学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从事应用化学专业的教学、科研工作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博士或副高及以上职称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应用化学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有本科教学或企业相关工作经验者学历要求可放宽至硕士</w:t>
            </w:r>
            <w:r>
              <w:rPr>
                <w:rFonts w:hint="eastAsia" w:ascii="Times New Roman" w:hAnsi="Times New Roman" w:cs="Times New Roman"/>
                <w:szCs w:val="21"/>
              </w:rPr>
              <w:t>；</w:t>
            </w:r>
            <w:r>
              <w:rPr>
                <w:rFonts w:ascii="Times New Roman" w:hAnsi="Times New Roman" w:cs="Times New Roman"/>
                <w:szCs w:val="21"/>
              </w:rPr>
              <w:t>研究方向为分析化学、精细化学品化学、环境化学者优先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数学与计算机工程系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计算机科学与技术、控制科学与工程、软件工程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</w:rPr>
              <w:t>从事专业方向的教学、科研工作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副教授及以上</w:t>
            </w:r>
            <w:r>
              <w:rPr>
                <w:rFonts w:hint="eastAsia" w:ascii="Times New Roman" w:hAnsi="Times New Roman" w:cs="Times New Roman"/>
                <w:szCs w:val="21"/>
              </w:rPr>
              <w:t>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计算机体系结构、计算机软件与理论、计算机应用技术、模式识别与智能系统、软件工程理论与方法、软件工程技术、软件服务工程、软件工程管理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微软雅黑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具有10年以上高校工作经历</w:t>
            </w:r>
            <w:r>
              <w:rPr>
                <w:rFonts w:hint="eastAsia" w:ascii="Times New Roman" w:hAnsi="Times New Roman" w:cs="Times New Roman"/>
                <w:szCs w:val="21"/>
              </w:rPr>
              <w:t>；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具有3年及以上专业建设或3年及以上教学管理经验</w:t>
            </w:r>
            <w:r>
              <w:rPr>
                <w:rFonts w:hint="eastAsia" w:ascii="Times New Roman" w:hAnsi="Times New Roman" w:cs="Times New Roman"/>
                <w:szCs w:val="21"/>
              </w:rPr>
              <w:t>；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近5年主持省级以上教研或科研项目，获得省级教学奖励或荣誉称号优先</w:t>
            </w:r>
            <w:r>
              <w:rPr>
                <w:rFonts w:hint="eastAsia" w:ascii="Times New Roman" w:hAnsi="Times New Roman" w:cs="Times New Roman"/>
                <w:szCs w:val="21"/>
              </w:rPr>
              <w:t>；4.</w:t>
            </w:r>
            <w:r>
              <w:rPr>
                <w:rFonts w:ascii="Times New Roman" w:hAnsi="Times New Roman" w:cs="Times New Roman"/>
                <w:szCs w:val="21"/>
              </w:rPr>
              <w:t>职称专业相关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数学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</w:rPr>
              <w:t>从事专业方向的教学、科研工作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副教授及以上</w:t>
            </w:r>
            <w:r>
              <w:rPr>
                <w:rFonts w:hint="eastAsia" w:ascii="Times New Roman" w:hAnsi="Times New Roman" w:cs="Times New Roman"/>
                <w:szCs w:val="21"/>
              </w:rPr>
              <w:t>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计算数学、应用数学、概率论与数理统计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具有10年以上高校工作经历</w:t>
            </w:r>
            <w:r>
              <w:rPr>
                <w:rFonts w:hint="eastAsia" w:ascii="Times New Roman" w:hAnsi="Times New Roman" w:cs="Times New Roman"/>
                <w:szCs w:val="21"/>
              </w:rPr>
              <w:t>；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具有3年及以上专业建设或3年及以上教学管理经验</w:t>
            </w:r>
            <w:r>
              <w:rPr>
                <w:rFonts w:hint="eastAsia" w:ascii="Times New Roman" w:hAnsi="Times New Roman" w:cs="Times New Roman"/>
                <w:szCs w:val="21"/>
              </w:rPr>
              <w:t>；3.</w:t>
            </w:r>
            <w:r>
              <w:rPr>
                <w:rFonts w:ascii="Times New Roman" w:hAnsi="Times New Roman" w:cs="Times New Roman"/>
                <w:szCs w:val="21"/>
              </w:rPr>
              <w:t>近5年内主持过省部级以上科研项目</w:t>
            </w:r>
            <w:r>
              <w:rPr>
                <w:rFonts w:hint="eastAsia" w:ascii="Times New Roman" w:hAnsi="Times New Roman" w:cs="Times New Roman"/>
                <w:szCs w:val="21"/>
              </w:rPr>
              <w:t>；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hint="eastAsia"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职称专业相关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数学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从事专业方向的教学、科研工作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计算数学、应用数学、概率论与数理统计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本硕专业相关；有企业经历者优先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计算机科学与技术、控制科学与工程、软件工程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从事专业方向的教学、科研工作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计算机体系结构、计算机软件与理论、计算机应用技术、模式识别与智能系统、软件工程理论与方法、软件工程技术、软件服务工程、软件工程管理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本硕专业相关；有企业经历者优先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旅游管理系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法学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从事社会工作方向的教学、科研工作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硕士及以上或副高及以上职称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社会学（社会工作）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具有社会工作师证、法律职业资格证、心理咨询师证、秘书证且蒙汉兼通者优先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管理学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从事旅游管理与服务教育方向的教学、科研工作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硕士及以上或副高及以上职称    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旅游管理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具有导游证、餐饮服务技师证、茶艺师证、礼仪培训师证、调酒师等证者优先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艺术系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艺术学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从事音乐教育（表演）方向的教学、科研工作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硕士及以上或副高及以上职称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音乐与舞蹈学</w:t>
            </w:r>
          </w:p>
        </w:tc>
        <w:tc>
          <w:tcPr>
            <w:tcW w:w="2914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有教学经验者优先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艺术学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从事声乐呼麦演唱方向的教学、科研工作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音乐与舞蹈学（音乐表演呼麦演唱方向）</w:t>
            </w:r>
          </w:p>
        </w:tc>
        <w:tc>
          <w:tcPr>
            <w:tcW w:w="2914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艺术学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从事器乐四胡演奏方向的教学、科研工作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音乐与舞蹈学（音乐表演蒙古四胡演奏方向）</w:t>
            </w:r>
          </w:p>
        </w:tc>
        <w:tc>
          <w:tcPr>
            <w:tcW w:w="2914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艺术学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从事器乐竹笛或扬琴演奏方向的教学、科研工作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音乐与舞蹈学[音乐表演民乐（扬琴或竹笛）演奏方向]</w:t>
            </w:r>
          </w:p>
        </w:tc>
        <w:tc>
          <w:tcPr>
            <w:tcW w:w="2914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医学系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37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护理学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从事临床护理方向的教学、科研工作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副主任护师及以上或副教授及以上职称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临床护理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或护理管理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职称专业相关；卫生系列职称有教学经历者优先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38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基础医学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从事人体解剖与组织胚胎学方向的教学、科研工作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硕士及以上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人体解剖与组织胚胎学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本硕专业相关，本科毕业于医学院校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39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基础医学或生物学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  <w:shd w:val="clear" w:color="auto" w:fill="FFFFFF"/>
              </w:rPr>
              <w:t>从事生理学方向的教学、科研工作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硕士及以上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医学生理学或生理学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本硕士专业相关，本科毕业于医学院校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眼科学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  <w:shd w:val="clear" w:color="auto" w:fill="FFFFFF"/>
              </w:rPr>
              <w:t>从事眼视光学方向的教学、科研工作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硕士及以上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眼视光学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本硕专业相关，有相关实践经历者优先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41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医学技术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  <w:shd w:val="clear" w:color="auto" w:fill="FFFFFF"/>
              </w:rPr>
              <w:t>从事眼视光学方向的教学、科研工作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硕士及以上或副高及以上职称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眼视光学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本硕专业相关；职称专业相关；有相关实践和教学经历者优先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42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医学检验或医学检验技术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  <w:shd w:val="clear" w:color="auto" w:fill="FFFFFF"/>
              </w:rPr>
              <w:t>从事临床检验方向的教学、科研工作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副主任检验师及以上或副教授及以上职称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临床检验或生化检验或免疫检验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有在省级及以上三甲医院进修经历；主要承担教学任务同时在附属医院从事检验工作 ；职称专业相关；卫生系列职称有教学经历者优先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43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临床医学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从事临床检验方向的教学、科研工作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硕士及以上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临床检验诊断学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本硕专业相关；主要承担教学工作，同时在附属医院从事检验工作；有相关实践经历者优先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44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临床医学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从事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医学影像技术</w:t>
            </w: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副主任医师及以上或副教授及以上职称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影像医学与核医学或医学影像学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主要承担教学工作，同时在附属医院从事医学影像技术工作；职称专业相关；卫生系列职称有教学经历者优先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45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临床医学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从事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医学影像技术</w:t>
            </w: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硕士及以上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影像医学与核医学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主要承担教学工作，同时在附属医院从事医学影像技术工作；有相关实践经历者优先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46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物理学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从事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医学影像技术</w:t>
            </w: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方向的教学、科研工作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教授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医用物理学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主要承担医学影像设备学、医学影像成像原理课程的教学；同时可承担医学电子学、眼应用光学课程的教学。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马克思主义教学部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47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马克思主义理论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从事马克思主义理论的教学、科研工作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副教授</w:t>
            </w:r>
            <w:r>
              <w:rPr>
                <w:rFonts w:hint="eastAsia" w:ascii="Times New Roman" w:hAnsi="Times New Roman" w:eastAsia="宋体" w:cs="Times New Roman"/>
                <w:szCs w:val="21"/>
                <w:shd w:val="clear" w:color="auto" w:fill="FFFFFF"/>
              </w:rPr>
              <w:t>及以上职称</w:t>
            </w: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，且为硕士</w:t>
            </w:r>
            <w:r>
              <w:rPr>
                <w:rFonts w:hint="eastAsia" w:ascii="Times New Roman" w:hAnsi="Times New Roman" w:eastAsia="宋体" w:cs="Times New Roman"/>
                <w:szCs w:val="21"/>
                <w:shd w:val="clear" w:color="auto" w:fill="FFFFFF"/>
              </w:rPr>
              <w:t>及</w:t>
            </w: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以上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思想政治教育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48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民族学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从事民族理论的教学、科研工作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硕士及以上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马克思主义民族理论与政策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连续两段学历与本专业一致或相近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49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马克思主义理论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从事中国近现代史纲要的教学、科研工作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硕士及以上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中国近现代史基本问题研究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连续两段学历与本专业一致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5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体教部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体育学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</w:rPr>
              <w:t>从事羽毛球、排球、田径方向的教学、科研和训练工作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硕士及以上或副高及以上职称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体育教育训练学</w:t>
            </w:r>
          </w:p>
        </w:tc>
        <w:tc>
          <w:tcPr>
            <w:tcW w:w="2914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4174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合计：96人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b/>
          <w:bCs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</w:p>
    <w:p/>
    <w:sectPr>
      <w:pgSz w:w="16838" w:h="11906" w:orient="landscape"/>
      <w:pgMar w:top="1066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A9"/>
    <w:rsid w:val="00084563"/>
    <w:rsid w:val="000D4937"/>
    <w:rsid w:val="000E46B0"/>
    <w:rsid w:val="001C5CDF"/>
    <w:rsid w:val="001D07FD"/>
    <w:rsid w:val="002F4AFD"/>
    <w:rsid w:val="003F0C52"/>
    <w:rsid w:val="00475D13"/>
    <w:rsid w:val="00593333"/>
    <w:rsid w:val="00674646"/>
    <w:rsid w:val="00680250"/>
    <w:rsid w:val="00904C68"/>
    <w:rsid w:val="00917401"/>
    <w:rsid w:val="009B6CAD"/>
    <w:rsid w:val="009F4571"/>
    <w:rsid w:val="00BD4BA9"/>
    <w:rsid w:val="00BE1DBC"/>
    <w:rsid w:val="00C2211A"/>
    <w:rsid w:val="00C4180E"/>
    <w:rsid w:val="00C444DA"/>
    <w:rsid w:val="00D62478"/>
    <w:rsid w:val="00D8699C"/>
    <w:rsid w:val="00E52646"/>
    <w:rsid w:val="00E60B3A"/>
    <w:rsid w:val="04111449"/>
    <w:rsid w:val="0787575A"/>
    <w:rsid w:val="0C90330B"/>
    <w:rsid w:val="0D1F6A7D"/>
    <w:rsid w:val="0F422826"/>
    <w:rsid w:val="1782793B"/>
    <w:rsid w:val="1E102614"/>
    <w:rsid w:val="1FF926C5"/>
    <w:rsid w:val="203A3CA1"/>
    <w:rsid w:val="205E2887"/>
    <w:rsid w:val="234D4A45"/>
    <w:rsid w:val="23C56CB6"/>
    <w:rsid w:val="28780140"/>
    <w:rsid w:val="2925092F"/>
    <w:rsid w:val="2B460A47"/>
    <w:rsid w:val="2C1E07F5"/>
    <w:rsid w:val="33DD0B58"/>
    <w:rsid w:val="36B224CD"/>
    <w:rsid w:val="393F67E7"/>
    <w:rsid w:val="394C6EBD"/>
    <w:rsid w:val="43FD4EFF"/>
    <w:rsid w:val="515B693D"/>
    <w:rsid w:val="51CF1AC8"/>
    <w:rsid w:val="53D63077"/>
    <w:rsid w:val="547E2C52"/>
    <w:rsid w:val="59090AA7"/>
    <w:rsid w:val="59400BE9"/>
    <w:rsid w:val="599A1E6E"/>
    <w:rsid w:val="5CE06AE9"/>
    <w:rsid w:val="64177933"/>
    <w:rsid w:val="64322E41"/>
    <w:rsid w:val="6B1054DE"/>
    <w:rsid w:val="6E4E5368"/>
    <w:rsid w:val="711D63FA"/>
    <w:rsid w:val="72077080"/>
    <w:rsid w:val="72295D31"/>
    <w:rsid w:val="78F64DF4"/>
    <w:rsid w:val="7A580AC5"/>
    <w:rsid w:val="7B40072B"/>
    <w:rsid w:val="7BBB7DB4"/>
    <w:rsid w:val="7E26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654</Words>
  <Characters>3728</Characters>
  <Lines>31</Lines>
  <Paragraphs>8</Paragraphs>
  <TotalTime>4</TotalTime>
  <ScaleCrop>false</ScaleCrop>
  <LinksUpToDate>false</LinksUpToDate>
  <CharactersWithSpaces>4374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PangJinglin</dc:creator>
  <cp:lastModifiedBy>庞晶琳</cp:lastModifiedBy>
  <cp:lastPrinted>2019-03-29T02:25:00Z</cp:lastPrinted>
  <dcterms:modified xsi:type="dcterms:W3CDTF">2019-03-30T01:46:49Z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