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570" w:lineRule="atLeast"/>
        <w:ind w:left="376" w:right="376" w:firstLine="645"/>
      </w:pPr>
      <w:r>
        <w:rPr>
          <w:rFonts w:ascii="方正黑体_GBK" w:hAnsi="方正黑体_GBK" w:eastAsia="方正黑体_GBK" w:cs="方正黑体_GBK"/>
          <w:sz w:val="31"/>
          <w:szCs w:val="31"/>
        </w:rPr>
        <w:t>招聘计划</w:t>
      </w:r>
    </w:p>
    <w:tbl>
      <w:tblPr>
        <w:tblW w:w="904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200"/>
        <w:gridCol w:w="1200"/>
        <w:gridCol w:w="2621"/>
        <w:gridCol w:w="1257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招聘部门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岗位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名额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专业（方向）要求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学历学位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岗位类别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马克思主义学院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马克思主义理论类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博士或硕士研究生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哲学教研部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哲学类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经济学教研部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经济学类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科社教研部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政治学理论、科学社会主义与国际共产主义运动、国际政治、公共管理、马克思主义中国化、马克思主义中国化研究、中共党史（含党的学说与党的建设）、社会学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博士或硕士研究生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党史教研部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中共党史、中国近现代史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博士或硕士研究生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公管教研部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土地资源管理、社会保障，领导科学相关专业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经管教研部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经济学类、工商管理类、农业经济管理类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文史教研部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政治学类、哲学类、历史学类，文化学相关专业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博士或硕士研究生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社会和生态文明教研部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社会学类、公共管理类、经济学类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1"/>
                <w:szCs w:val="21"/>
              </w:rPr>
              <w:t>应急管理培训中心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教师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公共管理类、社会学类、应急管理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探索编辑部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编辑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75" w:right="37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  <w:t>马克思主义中国化、马克思主义中国化研究、科学社会主义与国际共产主义运动、政治学理论、中共党史（含党学说与党的建设）、马克思主义哲学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博士或硕士研究生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专技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12</w:t>
            </w: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  <w:t>级及以上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合</w:t>
            </w: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  </w:t>
            </w:r>
            <w:r>
              <w:rPr>
                <w:rFonts w:hint="default" w:ascii="方正黑体_GBK" w:hAnsi="方正黑体_GBK" w:eastAsia="方正黑体_GBK" w:cs="方正黑体_GBK"/>
                <w:sz w:val="21"/>
                <w:szCs w:val="21"/>
              </w:rPr>
              <w:t>计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50F4B"/>
    <w:rsid w:val="260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2020-03-10T08:03:00Z</dcterms:created>
  <dc:creator>那时花开咖啡馆。</dc:creator>
  <cp:lastModifiedBy>那时花开咖啡馆。</cp:lastModifiedBy>
  <dcterms:modified xsi:type="dcterms:W3CDTF">2020-03-10T08:04:36Z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