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ascii="微软雅黑" w:hAnsi="微软雅黑" w:eastAsia="微软雅黑" w:cs="微软雅黑"/>
          <w:i w:val="0"/>
          <w:caps w:val="0"/>
          <w:color w:val="686868"/>
          <w:spacing w:val="0"/>
          <w:sz w:val="24"/>
          <w:szCs w:val="24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686868"/>
          <w:spacing w:val="0"/>
          <w:sz w:val="24"/>
          <w:szCs w:val="24"/>
          <w:bdr w:val="none" w:color="auto" w:sz="0" w:space="0"/>
        </w:rPr>
        <w:t>招聘单位、岗位、人数、专业、学历和范围及资格条件</w:t>
      </w:r>
    </w:p>
    <w:bookmarkEnd w:id="0"/>
    <w:tbl>
      <w:tblPr>
        <w:tblW w:w="8640" w:type="dxa"/>
        <w:jc w:val="center"/>
        <w:tblCellSpacing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78"/>
        <w:gridCol w:w="719"/>
        <w:gridCol w:w="674"/>
        <w:gridCol w:w="345"/>
        <w:gridCol w:w="1706"/>
        <w:gridCol w:w="1662"/>
        <w:gridCol w:w="554"/>
        <w:gridCol w:w="1902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tblCellSpacing w:w="0" w:type="dxa"/>
          <w:jc w:val="center"/>
        </w:trPr>
        <w:tc>
          <w:tcPr>
            <w:tcW w:w="108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单位</w:t>
            </w:r>
          </w:p>
        </w:tc>
        <w:tc>
          <w:tcPr>
            <w:tcW w:w="720" w:type="dxa"/>
            <w:tcBorders>
              <w:top w:val="inset" w:color="000000" w:sz="6" w:space="0"/>
              <w:left w:val="single" w:color="auto" w:sz="6" w:space="0"/>
              <w:bottom w:val="inset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岗位</w:t>
            </w:r>
          </w:p>
        </w:tc>
        <w:tc>
          <w:tcPr>
            <w:tcW w:w="675" w:type="dxa"/>
            <w:tcBorders>
              <w:top w:val="inset" w:color="000000" w:sz="6" w:space="0"/>
              <w:left w:val="nil"/>
              <w:bottom w:val="inset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类别</w:t>
            </w:r>
          </w:p>
        </w:tc>
        <w:tc>
          <w:tcPr>
            <w:tcW w:w="345" w:type="dxa"/>
            <w:tcBorders>
              <w:top w:val="inset" w:color="000000" w:sz="6" w:space="0"/>
              <w:left w:val="nil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1710" w:type="dxa"/>
            <w:tcBorders>
              <w:top w:val="inset" w:color="000000" w:sz="6" w:space="0"/>
              <w:left w:val="single" w:color="auto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职责</w:t>
            </w:r>
          </w:p>
        </w:tc>
        <w:tc>
          <w:tcPr>
            <w:tcW w:w="1665" w:type="dxa"/>
            <w:tcBorders>
              <w:top w:val="inset" w:color="000000" w:sz="6" w:space="0"/>
              <w:left w:val="single" w:color="auto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招聘专业及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学历（学位）要求</w:t>
            </w:r>
          </w:p>
        </w:tc>
        <w:tc>
          <w:tcPr>
            <w:tcW w:w="555" w:type="dxa"/>
            <w:tcBorders>
              <w:top w:val="inset" w:color="000000" w:sz="6" w:space="0"/>
              <w:left w:val="single" w:color="auto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范围</w:t>
            </w:r>
          </w:p>
        </w:tc>
        <w:tc>
          <w:tcPr>
            <w:tcW w:w="1905" w:type="dxa"/>
            <w:tcBorders>
              <w:top w:val="inset" w:color="000000" w:sz="6" w:space="0"/>
              <w:left w:val="single" w:color="auto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其他资格条件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tblCellSpacing w:w="0" w:type="dxa"/>
          <w:jc w:val="center"/>
        </w:trPr>
        <w:tc>
          <w:tcPr>
            <w:tcW w:w="1080" w:type="dxa"/>
            <w:tcBorders>
              <w:top w:val="nil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中国国际贸易促进委员会宁波调解中心</w:t>
            </w:r>
          </w:p>
        </w:tc>
        <w:tc>
          <w:tcPr>
            <w:tcW w:w="720" w:type="dxa"/>
            <w:tcBorders>
              <w:top w:val="nil"/>
              <w:left w:val="single" w:color="auto" w:sz="6" w:space="0"/>
              <w:bottom w:val="inset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国际经贸调解</w:t>
            </w:r>
          </w:p>
        </w:tc>
        <w:tc>
          <w:tcPr>
            <w:tcW w:w="675" w:type="dxa"/>
            <w:tcBorders>
              <w:top w:val="nil"/>
              <w:left w:val="nil"/>
              <w:bottom w:val="inset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管理</w:t>
            </w:r>
          </w:p>
        </w:tc>
        <w:tc>
          <w:tcPr>
            <w:tcW w:w="345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710" w:type="dxa"/>
            <w:tcBorders>
              <w:top w:val="nil"/>
              <w:left w:val="single" w:color="auto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从事涉外商事法律纠纷调解</w:t>
            </w:r>
          </w:p>
        </w:tc>
        <w:tc>
          <w:tcPr>
            <w:tcW w:w="1665" w:type="dxa"/>
            <w:tcBorders>
              <w:top w:val="nil"/>
              <w:left w:val="single" w:color="auto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法学类或国际经济与贸易专业，本科及以上学历、学士及以上学位。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浙江省户籍</w:t>
            </w:r>
          </w:p>
        </w:tc>
        <w:tc>
          <w:tcPr>
            <w:tcW w:w="1905" w:type="dxa"/>
            <w:tcBorders>
              <w:top w:val="nil"/>
              <w:left w:val="single" w:color="auto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1.35周岁以下；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2.具有两年及以上法律、国际经贸工作经验；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3.具有大学英语6级及以上证书；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4.须通过国家统一法律职业资格考试或国家司法考试,取得A类法律职业资格证书。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EF2409"/>
    <w:rsid w:val="71EF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2021-02-26T03:54:00Z</dcterms:created>
  <dc:creator>Administrator</dc:creator>
  <cp:lastModifiedBy>Administrator</cp:lastModifiedBy>
  <dcterms:modified xsi:type="dcterms:W3CDTF">2021-02-26T08:39:15Z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